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F827D">
      <w:pPr>
        <w:rPr>
          <w:rFonts w:hint="eastAsia"/>
        </w:rPr>
      </w:pPr>
    </w:p>
    <w:p w14:paraId="18325454">
      <w:pPr>
        <w:rPr>
          <w:rFonts w:hint="eastAsia"/>
        </w:rPr>
      </w:pPr>
    </w:p>
    <w:p w14:paraId="436F8F05">
      <w:pPr>
        <w:rPr>
          <w:rFonts w:hint="eastAsia"/>
        </w:rPr>
      </w:pPr>
    </w:p>
    <w:p w14:paraId="5DD5696D">
      <w:pPr>
        <w:jc w:val="center"/>
        <w:rPr>
          <w:rFonts w:hint="eastAsia"/>
        </w:rPr>
      </w:pPr>
      <w:r>
        <w:rPr>
          <w:rFonts w:hint="eastAsia"/>
          <w:sz w:val="96"/>
          <w:szCs w:val="96"/>
        </w:rPr>
        <w:t>招 标 文 件</w:t>
      </w:r>
    </w:p>
    <w:p w14:paraId="478497EA">
      <w:pPr>
        <w:jc w:val="center"/>
        <w:rPr>
          <w:rFonts w:hint="eastAsia"/>
        </w:rPr>
      </w:pPr>
      <w:r>
        <w:rPr>
          <w:rFonts w:hint="eastAsia"/>
        </w:rPr>
        <w:t>（</w:t>
      </w:r>
      <w:r>
        <w:rPr>
          <w:rFonts w:hint="eastAsia"/>
          <w:lang w:val="en-US" w:eastAsia="zh-CN"/>
        </w:rPr>
        <w:t>工程</w:t>
      </w:r>
      <w:r>
        <w:rPr>
          <w:rFonts w:hint="eastAsia"/>
        </w:rPr>
        <w:t>类）</w:t>
      </w:r>
    </w:p>
    <w:p w14:paraId="6267CC23">
      <w:pPr>
        <w:jc w:val="center"/>
        <w:rPr>
          <w:rFonts w:hint="eastAsia"/>
        </w:rPr>
      </w:pPr>
    </w:p>
    <w:p w14:paraId="57F41842">
      <w:pPr>
        <w:jc w:val="center"/>
        <w:rPr>
          <w:rFonts w:hint="eastAsia"/>
        </w:rPr>
      </w:pPr>
    </w:p>
    <w:p w14:paraId="489E65C9">
      <w:pPr>
        <w:jc w:val="both"/>
        <w:rPr>
          <w:rFonts w:hint="eastAsia"/>
          <w:b w:val="0"/>
          <w:bCs w:val="0"/>
          <w:sz w:val="32"/>
          <w:szCs w:val="32"/>
        </w:rPr>
      </w:pPr>
    </w:p>
    <w:p w14:paraId="565B8BE2">
      <w:pPr>
        <w:jc w:val="both"/>
        <w:rPr>
          <w:rFonts w:hint="eastAsia"/>
          <w:b w:val="0"/>
          <w:bCs w:val="0"/>
          <w:sz w:val="32"/>
          <w:szCs w:val="32"/>
        </w:rPr>
      </w:pPr>
    </w:p>
    <w:p w14:paraId="487FC371">
      <w:pPr>
        <w:ind w:firstLine="1280" w:firstLineChars="400"/>
        <w:jc w:val="both"/>
        <w:rPr>
          <w:rFonts w:hint="default"/>
          <w:b w:val="0"/>
          <w:bCs w:val="0"/>
          <w:sz w:val="32"/>
          <w:szCs w:val="32"/>
          <w:u w:val="single"/>
          <w:lang w:val="en-US" w:eastAsia="zh-CN"/>
        </w:rPr>
      </w:pPr>
      <w:r>
        <w:rPr>
          <w:rFonts w:hint="eastAsia"/>
          <w:b w:val="0"/>
          <w:bCs w:val="0"/>
          <w:sz w:val="32"/>
          <w:szCs w:val="32"/>
        </w:rPr>
        <w:t>项目名称：</w:t>
      </w:r>
      <w:r>
        <w:rPr>
          <w:rFonts w:hint="eastAsia"/>
          <w:b w:val="0"/>
          <w:bCs w:val="0"/>
          <w:sz w:val="32"/>
          <w:szCs w:val="32"/>
          <w:u w:val="single"/>
          <w:lang w:val="en-US" w:eastAsia="zh-CN"/>
        </w:rPr>
        <w:t xml:space="preserve"> 滨湖卓越城文华园一期8#楼4层装修改造     </w:t>
      </w:r>
    </w:p>
    <w:p w14:paraId="4B28D7C4">
      <w:pPr>
        <w:ind w:firstLine="1280" w:firstLineChars="400"/>
        <w:jc w:val="both"/>
        <w:rPr>
          <w:rFonts w:hint="default" w:eastAsia="方正小标宋简体"/>
          <w:b w:val="0"/>
          <w:bCs w:val="0"/>
          <w:sz w:val="32"/>
          <w:szCs w:val="32"/>
          <w:u w:val="single"/>
          <w:lang w:val="en-US" w:eastAsia="zh-CN"/>
        </w:rPr>
      </w:pPr>
      <w:r>
        <w:rPr>
          <w:rFonts w:hint="eastAsia"/>
          <w:b w:val="0"/>
          <w:bCs w:val="0"/>
          <w:sz w:val="32"/>
          <w:szCs w:val="32"/>
        </w:rPr>
        <w:t>项目编号：</w:t>
      </w:r>
      <w:r>
        <w:rPr>
          <w:rFonts w:hint="eastAsia"/>
          <w:b w:val="0"/>
          <w:bCs w:val="0"/>
          <w:sz w:val="32"/>
          <w:szCs w:val="32"/>
          <w:u w:val="single"/>
          <w:lang w:val="en-US" w:eastAsia="zh-CN"/>
        </w:rPr>
        <w:t xml:space="preserve">                          </w:t>
      </w:r>
    </w:p>
    <w:p w14:paraId="0ABA2DC0">
      <w:pPr>
        <w:ind w:firstLine="1280" w:firstLineChars="400"/>
        <w:jc w:val="both"/>
        <w:rPr>
          <w:rFonts w:hint="eastAsia"/>
          <w:b w:val="0"/>
          <w:bCs w:val="0"/>
          <w:sz w:val="32"/>
          <w:szCs w:val="32"/>
          <w:u w:val="single"/>
          <w:lang w:val="en-US" w:eastAsia="zh-CN"/>
        </w:rPr>
      </w:pPr>
      <w:r>
        <w:rPr>
          <w:rFonts w:hint="eastAsia"/>
          <w:b w:val="0"/>
          <w:bCs w:val="0"/>
          <w:sz w:val="32"/>
          <w:szCs w:val="32"/>
        </w:rPr>
        <w:t>采 购 人：</w:t>
      </w:r>
      <w:r>
        <w:rPr>
          <w:rFonts w:hint="eastAsia"/>
          <w:b w:val="0"/>
          <w:bCs w:val="0"/>
          <w:sz w:val="32"/>
          <w:szCs w:val="32"/>
          <w:u w:val="single"/>
          <w:lang w:val="en-US" w:eastAsia="zh-CN"/>
        </w:rPr>
        <w:t xml:space="preserve"> 合肥包河文广产业投资有限公司 </w:t>
      </w:r>
    </w:p>
    <w:p w14:paraId="30D346B8">
      <w:pPr>
        <w:jc w:val="center"/>
        <w:rPr>
          <w:rFonts w:hint="eastAsia"/>
          <w:sz w:val="32"/>
          <w:szCs w:val="32"/>
          <w:u w:val="single"/>
          <w:lang w:val="en-US" w:eastAsia="zh-CN"/>
        </w:rPr>
      </w:pPr>
    </w:p>
    <w:p w14:paraId="27A5291F">
      <w:pPr>
        <w:jc w:val="center"/>
        <w:rPr>
          <w:rFonts w:hint="eastAsia"/>
          <w:sz w:val="32"/>
          <w:szCs w:val="32"/>
          <w:u w:val="single"/>
          <w:lang w:val="en-US" w:eastAsia="zh-CN"/>
        </w:rPr>
      </w:pPr>
    </w:p>
    <w:p w14:paraId="666CAE49">
      <w:pPr>
        <w:jc w:val="center"/>
        <w:rPr>
          <w:rFonts w:hint="eastAsia"/>
          <w:sz w:val="32"/>
          <w:szCs w:val="32"/>
          <w:u w:val="single"/>
          <w:lang w:val="en-US" w:eastAsia="zh-CN"/>
        </w:rPr>
      </w:pPr>
    </w:p>
    <w:p w14:paraId="4A87D637">
      <w:pPr>
        <w:jc w:val="center"/>
        <w:rPr>
          <w:rFonts w:hint="eastAsia"/>
          <w:sz w:val="32"/>
          <w:szCs w:val="32"/>
          <w:u w:val="single"/>
          <w:lang w:val="en-US" w:eastAsia="zh-CN"/>
        </w:rPr>
      </w:pPr>
    </w:p>
    <w:p w14:paraId="57CA6521">
      <w:pPr>
        <w:jc w:val="center"/>
        <w:rPr>
          <w:rFonts w:hint="eastAsia"/>
          <w:sz w:val="32"/>
          <w:szCs w:val="32"/>
          <w:u w:val="single"/>
          <w:lang w:val="en-US" w:eastAsia="zh-CN"/>
        </w:rPr>
      </w:pPr>
    </w:p>
    <w:p w14:paraId="0957B3B8">
      <w:pPr>
        <w:jc w:val="center"/>
        <w:rPr>
          <w:rFonts w:hint="eastAsia" w:ascii="宋体" w:hAnsi="宋体" w:eastAsia="宋体" w:cs="宋体"/>
          <w:b/>
          <w:bCs/>
          <w:sz w:val="32"/>
          <w:szCs w:val="32"/>
          <w:highlight w:val="none"/>
          <w:u w:val="single"/>
          <w:lang w:val="en-US" w:eastAsia="zh-CN"/>
        </w:rPr>
      </w:pPr>
      <w:r>
        <w:rPr>
          <w:rFonts w:hint="default" w:ascii="Times New Roman" w:hAnsi="Times New Roman" w:eastAsia="宋体" w:cs="Times New Roman"/>
          <w:b/>
          <w:bCs/>
          <w:sz w:val="32"/>
          <w:szCs w:val="32"/>
          <w:highlight w:val="none"/>
          <w:u w:val="single"/>
          <w:lang w:val="en-US" w:eastAsia="zh-CN"/>
        </w:rPr>
        <w:t>202</w:t>
      </w:r>
      <w:r>
        <w:rPr>
          <w:rFonts w:hint="eastAsia" w:ascii="Times New Roman" w:hAnsi="Times New Roman" w:eastAsia="宋体" w:cs="Times New Roman"/>
          <w:b/>
          <w:bCs/>
          <w:sz w:val="32"/>
          <w:szCs w:val="32"/>
          <w:highlight w:val="none"/>
          <w:u w:val="single"/>
          <w:lang w:val="en-US" w:eastAsia="zh-CN"/>
        </w:rPr>
        <w:t>4</w:t>
      </w:r>
      <w:r>
        <w:rPr>
          <w:rFonts w:hint="eastAsia" w:ascii="宋体" w:hAnsi="宋体" w:eastAsia="宋体" w:cs="宋体"/>
          <w:b/>
          <w:bCs/>
          <w:sz w:val="32"/>
          <w:szCs w:val="32"/>
          <w:highlight w:val="none"/>
          <w:u w:val="single"/>
          <w:lang w:val="en-US" w:eastAsia="zh-CN"/>
        </w:rPr>
        <w:t>年03月</w:t>
      </w:r>
    </w:p>
    <w:p w14:paraId="14AB1058">
      <w:pPr>
        <w:jc w:val="center"/>
        <w:rPr>
          <w:rFonts w:hint="eastAsia" w:ascii="宋体" w:hAnsi="宋体" w:eastAsia="宋体" w:cs="宋体"/>
          <w:b/>
          <w:bCs/>
          <w:sz w:val="32"/>
          <w:szCs w:val="32"/>
          <w:u w:val="single"/>
          <w:lang w:val="en-US" w:eastAsia="zh-CN"/>
        </w:rPr>
      </w:pPr>
    </w:p>
    <w:p w14:paraId="530013F6">
      <w:pPr>
        <w:jc w:val="center"/>
        <w:rPr>
          <w:rFonts w:hint="eastAsia" w:ascii="宋体" w:hAnsi="宋体" w:eastAsia="宋体" w:cs="宋体"/>
          <w:b/>
          <w:bCs/>
          <w:sz w:val="32"/>
          <w:szCs w:val="32"/>
          <w:u w:val="single"/>
          <w:lang w:val="en-US" w:eastAsia="zh-CN"/>
        </w:rPr>
      </w:pPr>
    </w:p>
    <w:p w14:paraId="0E413475">
      <w:pPr>
        <w:jc w:val="center"/>
        <w:rPr>
          <w:rFonts w:hint="eastAsia" w:ascii="宋体" w:hAnsi="宋体" w:eastAsia="宋体" w:cs="宋体"/>
          <w:b/>
          <w:bCs/>
          <w:sz w:val="28"/>
          <w:szCs w:val="28"/>
          <w:u w:val="none"/>
          <w:lang w:val="en-US" w:eastAsia="zh-CN"/>
        </w:rPr>
      </w:pPr>
    </w:p>
    <w:p w14:paraId="7A6FD711">
      <w:pPr>
        <w:jc w:val="center"/>
        <w:rPr>
          <w:rFonts w:hint="eastAsia" w:ascii="宋体" w:hAnsi="宋体" w:eastAsia="宋体" w:cs="宋体"/>
          <w:b/>
          <w:bCs/>
          <w:sz w:val="28"/>
          <w:szCs w:val="28"/>
          <w:u w:val="none"/>
          <w:lang w:val="en-US" w:eastAsia="zh-CN"/>
        </w:rPr>
      </w:pPr>
    </w:p>
    <w:p w14:paraId="173AF2DC">
      <w:pPr>
        <w:jc w:val="center"/>
        <w:rPr>
          <w:rFonts w:hint="eastAsia" w:ascii="宋体" w:hAnsi="宋体" w:eastAsia="宋体" w:cs="宋体"/>
          <w:b/>
          <w:bCs/>
          <w:sz w:val="28"/>
          <w:szCs w:val="28"/>
          <w:u w:val="none"/>
          <w:lang w:val="en-US" w:eastAsia="zh-CN"/>
        </w:rPr>
      </w:pPr>
    </w:p>
    <w:p w14:paraId="5D93235E">
      <w:pPr>
        <w:jc w:val="center"/>
        <w:rPr>
          <w:rFonts w:hint="eastAsia" w:ascii="宋体" w:hAnsi="宋体" w:eastAsia="宋体" w:cs="宋体"/>
          <w:b/>
          <w:bCs/>
          <w:sz w:val="28"/>
          <w:szCs w:val="28"/>
          <w:u w:val="none"/>
          <w:lang w:val="en-US" w:eastAsia="zh-CN"/>
        </w:rPr>
      </w:pPr>
    </w:p>
    <w:p w14:paraId="623F496B">
      <w:pPr>
        <w:jc w:val="center"/>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目  录</w:t>
      </w:r>
    </w:p>
    <w:p w14:paraId="69CEE9AF">
      <w:pPr>
        <w:numPr>
          <w:ilvl w:val="0"/>
          <w:numId w:val="1"/>
        </w:numPr>
        <w:jc w:val="both"/>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投标邀请（招标公告）.....................................3</w:t>
      </w:r>
    </w:p>
    <w:p w14:paraId="7AE3238D">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投标人须知...............................................6</w:t>
      </w:r>
    </w:p>
    <w:p w14:paraId="209D2270">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评标方法................................................28</w:t>
      </w:r>
    </w:p>
    <w:p w14:paraId="09449D57">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合同条款................................................33</w:t>
      </w:r>
    </w:p>
    <w:p w14:paraId="202CD71E">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工程量清单..............................................41</w:t>
      </w:r>
    </w:p>
    <w:p w14:paraId="1279A28B">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图纸....................................................48</w:t>
      </w:r>
    </w:p>
    <w:p w14:paraId="188F5154">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技术标准和要求..........................................49</w:t>
      </w:r>
    </w:p>
    <w:p w14:paraId="2DCC0C7A">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投标文件格式............................................50</w:t>
      </w:r>
    </w:p>
    <w:p w14:paraId="06D39D4F">
      <w:pPr>
        <w:widowControl w:val="0"/>
        <w:numPr>
          <w:ilvl w:val="0"/>
          <w:numId w:val="0"/>
        </w:numPr>
        <w:jc w:val="both"/>
        <w:rPr>
          <w:rFonts w:hint="default" w:ascii="宋体" w:hAnsi="宋体" w:eastAsia="宋体" w:cs="宋体"/>
          <w:b/>
          <w:bCs/>
          <w:sz w:val="28"/>
          <w:szCs w:val="28"/>
          <w:u w:val="none"/>
          <w:lang w:val="en-US" w:eastAsia="zh-CN"/>
        </w:rPr>
      </w:pPr>
    </w:p>
    <w:p w14:paraId="24FC4376">
      <w:pPr>
        <w:widowControl w:val="0"/>
        <w:numPr>
          <w:ilvl w:val="0"/>
          <w:numId w:val="0"/>
        </w:numPr>
        <w:jc w:val="both"/>
        <w:rPr>
          <w:rFonts w:hint="eastAsia" w:ascii="宋体" w:hAnsi="宋体" w:eastAsia="宋体" w:cs="宋体"/>
          <w:b/>
          <w:bCs/>
          <w:sz w:val="28"/>
          <w:szCs w:val="28"/>
          <w:u w:val="none"/>
          <w:lang w:val="en-US" w:eastAsia="zh-CN"/>
        </w:rPr>
      </w:pPr>
    </w:p>
    <w:p w14:paraId="65E0ADEC">
      <w:pPr>
        <w:widowControl w:val="0"/>
        <w:numPr>
          <w:ilvl w:val="0"/>
          <w:numId w:val="0"/>
        </w:numPr>
        <w:jc w:val="both"/>
        <w:rPr>
          <w:rFonts w:hint="eastAsia" w:ascii="宋体" w:hAnsi="宋体" w:eastAsia="宋体" w:cs="宋体"/>
          <w:b/>
          <w:bCs/>
          <w:sz w:val="28"/>
          <w:szCs w:val="28"/>
          <w:u w:val="none"/>
          <w:lang w:val="en-US" w:eastAsia="zh-CN"/>
        </w:rPr>
      </w:pPr>
    </w:p>
    <w:p w14:paraId="33AE0DDF">
      <w:pPr>
        <w:widowControl w:val="0"/>
        <w:numPr>
          <w:ilvl w:val="0"/>
          <w:numId w:val="0"/>
        </w:numPr>
        <w:jc w:val="both"/>
        <w:rPr>
          <w:rFonts w:hint="eastAsia" w:ascii="宋体" w:hAnsi="宋体" w:eastAsia="宋体" w:cs="宋体"/>
          <w:b/>
          <w:bCs/>
          <w:sz w:val="28"/>
          <w:szCs w:val="28"/>
          <w:u w:val="none"/>
          <w:lang w:val="en-US" w:eastAsia="zh-CN"/>
        </w:rPr>
      </w:pPr>
    </w:p>
    <w:p w14:paraId="1434142B">
      <w:pPr>
        <w:widowControl w:val="0"/>
        <w:numPr>
          <w:ilvl w:val="0"/>
          <w:numId w:val="0"/>
        </w:numPr>
        <w:jc w:val="both"/>
        <w:rPr>
          <w:rFonts w:hint="eastAsia" w:ascii="宋体" w:hAnsi="宋体" w:eastAsia="宋体" w:cs="宋体"/>
          <w:b/>
          <w:bCs/>
          <w:sz w:val="28"/>
          <w:szCs w:val="28"/>
          <w:u w:val="none"/>
          <w:lang w:val="en-US" w:eastAsia="zh-CN"/>
        </w:rPr>
      </w:pPr>
    </w:p>
    <w:p w14:paraId="1096EA78">
      <w:pPr>
        <w:widowControl w:val="0"/>
        <w:numPr>
          <w:ilvl w:val="0"/>
          <w:numId w:val="0"/>
        </w:numPr>
        <w:jc w:val="both"/>
        <w:rPr>
          <w:rFonts w:hint="eastAsia" w:ascii="宋体" w:hAnsi="宋体" w:eastAsia="宋体" w:cs="宋体"/>
          <w:b/>
          <w:bCs/>
          <w:sz w:val="28"/>
          <w:szCs w:val="28"/>
          <w:u w:val="none"/>
          <w:lang w:val="en-US" w:eastAsia="zh-CN"/>
        </w:rPr>
      </w:pPr>
    </w:p>
    <w:p w14:paraId="27AB0DB5">
      <w:pPr>
        <w:widowControl w:val="0"/>
        <w:numPr>
          <w:ilvl w:val="0"/>
          <w:numId w:val="0"/>
        </w:numPr>
        <w:jc w:val="both"/>
        <w:rPr>
          <w:rFonts w:hint="eastAsia" w:ascii="宋体" w:hAnsi="宋体" w:eastAsia="宋体" w:cs="宋体"/>
          <w:b/>
          <w:bCs/>
          <w:sz w:val="28"/>
          <w:szCs w:val="28"/>
          <w:u w:val="none"/>
          <w:lang w:val="en-US" w:eastAsia="zh-CN"/>
        </w:rPr>
      </w:pPr>
    </w:p>
    <w:p w14:paraId="1BF33AC7">
      <w:pPr>
        <w:widowControl w:val="0"/>
        <w:numPr>
          <w:ilvl w:val="0"/>
          <w:numId w:val="0"/>
        </w:numPr>
        <w:jc w:val="both"/>
        <w:rPr>
          <w:rFonts w:hint="eastAsia" w:ascii="宋体" w:hAnsi="宋体" w:eastAsia="宋体" w:cs="宋体"/>
          <w:b/>
          <w:bCs/>
          <w:sz w:val="28"/>
          <w:szCs w:val="28"/>
          <w:u w:val="none"/>
          <w:lang w:val="en-US" w:eastAsia="zh-CN"/>
        </w:rPr>
      </w:pPr>
    </w:p>
    <w:p w14:paraId="53C7952F">
      <w:pPr>
        <w:widowControl w:val="0"/>
        <w:numPr>
          <w:ilvl w:val="0"/>
          <w:numId w:val="0"/>
        </w:numPr>
        <w:jc w:val="both"/>
        <w:rPr>
          <w:rFonts w:hint="eastAsia" w:ascii="宋体" w:hAnsi="宋体" w:eastAsia="宋体" w:cs="宋体"/>
          <w:b/>
          <w:bCs/>
          <w:sz w:val="28"/>
          <w:szCs w:val="28"/>
          <w:u w:val="none"/>
          <w:lang w:val="en-US" w:eastAsia="zh-CN"/>
        </w:rPr>
      </w:pPr>
    </w:p>
    <w:p w14:paraId="1F3F914D">
      <w:pPr>
        <w:widowControl w:val="0"/>
        <w:numPr>
          <w:ilvl w:val="0"/>
          <w:numId w:val="0"/>
        </w:numPr>
        <w:jc w:val="both"/>
        <w:rPr>
          <w:rFonts w:hint="eastAsia" w:ascii="宋体" w:hAnsi="宋体" w:eastAsia="宋体" w:cs="宋体"/>
          <w:b/>
          <w:bCs/>
          <w:sz w:val="28"/>
          <w:szCs w:val="28"/>
          <w:u w:val="none"/>
          <w:lang w:val="en-US" w:eastAsia="zh-CN"/>
        </w:rPr>
      </w:pPr>
    </w:p>
    <w:p w14:paraId="3C845A2E">
      <w:pPr>
        <w:spacing w:line="360" w:lineRule="auto"/>
        <w:jc w:val="center"/>
        <w:outlineLvl w:val="1"/>
        <w:rPr>
          <w:rFonts w:hint="default" w:ascii="Times New Roman" w:hAnsi="Times New Roman" w:eastAsia="宋体" w:cs="Times New Roman"/>
          <w:b/>
          <w:color w:val="auto"/>
          <w:sz w:val="28"/>
          <w:highlight w:val="none"/>
        </w:rPr>
      </w:pPr>
      <w:bookmarkStart w:id="0" w:name="_Toc74896742"/>
    </w:p>
    <w:p w14:paraId="4A9C2465">
      <w:pPr>
        <w:spacing w:line="360" w:lineRule="auto"/>
        <w:jc w:val="center"/>
        <w:outlineLvl w:val="1"/>
        <w:rPr>
          <w:rFonts w:hint="default" w:ascii="Times New Roman" w:hAnsi="Times New Roman" w:eastAsia="宋体" w:cs="Times New Roman"/>
          <w:b/>
          <w:color w:val="auto"/>
          <w:sz w:val="28"/>
          <w:highlight w:val="none"/>
        </w:rPr>
      </w:pPr>
    </w:p>
    <w:p w14:paraId="65D77886">
      <w:pPr>
        <w:spacing w:line="360" w:lineRule="auto"/>
        <w:jc w:val="center"/>
        <w:outlineLvl w:val="1"/>
        <w:rPr>
          <w:rFonts w:hint="default" w:ascii="Times New Roman" w:hAnsi="Times New Roman" w:eastAsia="宋体" w:cs="Times New Roman"/>
          <w:b/>
          <w:color w:val="auto"/>
          <w:sz w:val="28"/>
          <w:highlight w:val="none"/>
        </w:rPr>
      </w:pPr>
    </w:p>
    <w:p w14:paraId="3733581B">
      <w:pPr>
        <w:spacing w:line="360" w:lineRule="auto"/>
        <w:jc w:val="center"/>
        <w:outlineLvl w:val="1"/>
        <w:rPr>
          <w:rFonts w:hint="default" w:ascii="Times New Roman" w:hAnsi="Times New Roman" w:eastAsia="宋体" w:cs="Times New Roman"/>
          <w:b/>
          <w:color w:val="auto"/>
          <w:sz w:val="28"/>
          <w:highlight w:val="none"/>
        </w:rPr>
      </w:pPr>
    </w:p>
    <w:p w14:paraId="73459D4D">
      <w:pPr>
        <w:spacing w:line="360" w:lineRule="auto"/>
        <w:jc w:val="center"/>
        <w:outlineLvl w:val="1"/>
        <w:rPr>
          <w:rFonts w:hint="default" w:ascii="Times New Roman" w:hAnsi="Times New Roman" w:eastAsia="宋体" w:cs="Times New Roman"/>
          <w:b/>
          <w:color w:val="auto"/>
          <w:sz w:val="28"/>
          <w:highlight w:val="none"/>
        </w:rPr>
      </w:pPr>
    </w:p>
    <w:p w14:paraId="579F0A36">
      <w:pPr>
        <w:spacing w:line="360" w:lineRule="auto"/>
        <w:jc w:val="center"/>
        <w:outlineLvl w:val="1"/>
        <w:rPr>
          <w:rFonts w:hint="default" w:ascii="Times New Roman" w:hAnsi="Times New Roman" w:eastAsia="宋体" w:cs="Times New Roman"/>
          <w:b/>
          <w:color w:val="auto"/>
          <w:sz w:val="28"/>
          <w:highlight w:val="none"/>
        </w:rPr>
      </w:pPr>
    </w:p>
    <w:p w14:paraId="5E438B67">
      <w:pPr>
        <w:spacing w:line="360" w:lineRule="auto"/>
        <w:jc w:val="center"/>
        <w:outlineLvl w:val="1"/>
        <w:rPr>
          <w:rFonts w:hint="default" w:ascii="Times New Roman" w:hAnsi="Times New Roman" w:eastAsia="宋体" w:cs="Times New Roman"/>
          <w:b/>
          <w:color w:val="auto"/>
          <w:sz w:val="28"/>
          <w:highlight w:val="none"/>
        </w:rPr>
      </w:pPr>
    </w:p>
    <w:p w14:paraId="7E2A52AE">
      <w:pPr>
        <w:spacing w:line="360" w:lineRule="auto"/>
        <w:jc w:val="center"/>
        <w:outlineLvl w:val="1"/>
        <w:rPr>
          <w:rFonts w:hint="default" w:ascii="Times New Roman" w:hAnsi="Times New Roman" w:eastAsia="宋体" w:cs="Times New Roman"/>
          <w:b/>
          <w:color w:val="auto"/>
          <w:sz w:val="28"/>
          <w:highlight w:val="none"/>
        </w:rPr>
      </w:pPr>
    </w:p>
    <w:p w14:paraId="4A9B5895">
      <w:pPr>
        <w:spacing w:line="360" w:lineRule="auto"/>
        <w:jc w:val="center"/>
        <w:outlineLvl w:val="1"/>
        <w:rPr>
          <w:rFonts w:hint="default" w:ascii="Times New Roman" w:hAnsi="Times New Roman" w:eastAsia="宋体" w:cs="Times New Roman"/>
          <w:b/>
          <w:color w:val="auto"/>
          <w:sz w:val="28"/>
          <w:highlight w:val="none"/>
        </w:rPr>
      </w:pPr>
    </w:p>
    <w:p w14:paraId="5C5B8428">
      <w:pPr>
        <w:spacing w:line="360" w:lineRule="auto"/>
        <w:jc w:val="center"/>
        <w:outlineLvl w:val="1"/>
        <w:rPr>
          <w:rFonts w:hint="default" w:ascii="Times New Roman" w:hAnsi="Times New Roman" w:eastAsia="宋体" w:cs="Times New Roman"/>
          <w:b/>
          <w:color w:val="auto"/>
          <w:sz w:val="28"/>
          <w:highlight w:val="none"/>
        </w:rPr>
      </w:pPr>
    </w:p>
    <w:p w14:paraId="3839A007">
      <w:pPr>
        <w:spacing w:line="360" w:lineRule="auto"/>
        <w:jc w:val="center"/>
        <w:outlineLvl w:val="1"/>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第一章  投标邀请（招标公告）</w:t>
      </w:r>
      <w:bookmarkEnd w:id="0"/>
    </w:p>
    <w:p w14:paraId="36217AC3">
      <w:pPr>
        <w:pBdr>
          <w:top w:val="single" w:color="auto" w:sz="4" w:space="1"/>
          <w:left w:val="single" w:color="auto" w:sz="4" w:space="4"/>
          <w:bottom w:val="single" w:color="auto" w:sz="4" w:space="1"/>
          <w:right w:val="single" w:color="auto" w:sz="4" w:space="4"/>
        </w:pBd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项目概况</w:t>
      </w:r>
    </w:p>
    <w:p w14:paraId="69162F6A">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滨湖卓越城文华园一期8#楼4层装修改造</w:t>
      </w:r>
      <w:r>
        <w:rPr>
          <w:rFonts w:hint="eastAsia" w:ascii="宋体" w:hAnsi="宋体" w:eastAsia="宋体" w:cs="宋体"/>
          <w:color w:val="auto"/>
          <w:sz w:val="24"/>
          <w:szCs w:val="24"/>
          <w:highlight w:val="none"/>
        </w:rPr>
        <w:t>的潜</w:t>
      </w:r>
      <w:r>
        <w:rPr>
          <w:rFonts w:hint="default" w:ascii="Times New Roman" w:hAnsi="Times New Roman" w:eastAsia="宋体" w:cs="Times New Roman"/>
          <w:color w:val="auto"/>
          <w:sz w:val="24"/>
          <w:szCs w:val="24"/>
          <w:highlight w:val="none"/>
        </w:rPr>
        <w:t>在投标人应在</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合肥包河文广产业投资有限公司网站 </w:t>
      </w:r>
      <w:r>
        <w:rPr>
          <w:rFonts w:hint="default" w:ascii="Times New Roman" w:hAnsi="Times New Roman" w:eastAsia="宋体" w:cs="Times New Roman"/>
          <w:color w:val="auto"/>
          <w:sz w:val="24"/>
          <w:szCs w:val="24"/>
          <w:highlight w:val="none"/>
        </w:rPr>
        <w:t>获取招标文件，并于</w:t>
      </w:r>
      <w:r>
        <w:rPr>
          <w:rFonts w:hint="default"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lang w:val="en-US" w:eastAsia="zh-CN"/>
        </w:rPr>
        <w:t>4</w:t>
      </w:r>
      <w:r>
        <w:rPr>
          <w:rFonts w:hint="default" w:ascii="Times New Roman" w:hAnsi="Times New Roman" w:eastAsia="宋体" w:cs="Times New Roman"/>
          <w:bCs/>
          <w:color w:val="auto"/>
          <w:sz w:val="24"/>
          <w:szCs w:val="24"/>
          <w:highlight w:val="none"/>
          <w:u w:val="single"/>
        </w:rPr>
        <w:t>年</w:t>
      </w:r>
      <w:r>
        <w:rPr>
          <w:rFonts w:hint="eastAsia" w:ascii="Times New Roman" w:hAnsi="Times New Roman" w:eastAsia="宋体" w:cs="Times New Roman"/>
          <w:bCs/>
          <w:color w:val="auto"/>
          <w:sz w:val="24"/>
          <w:szCs w:val="24"/>
          <w:highlight w:val="none"/>
          <w:u w:val="single"/>
          <w:lang w:val="en-US" w:eastAsia="zh-CN"/>
        </w:rPr>
        <w:t>03</w:t>
      </w:r>
      <w:r>
        <w:rPr>
          <w:rFonts w:hint="default" w:ascii="Times New Roman" w:hAnsi="Times New Roman" w:eastAsia="宋体" w:cs="Times New Roman"/>
          <w:bCs/>
          <w:color w:val="auto"/>
          <w:sz w:val="24"/>
          <w:szCs w:val="24"/>
          <w:highlight w:val="none"/>
          <w:u w:val="single"/>
        </w:rPr>
        <w:t>月</w:t>
      </w:r>
      <w:r>
        <w:rPr>
          <w:rFonts w:hint="eastAsia" w:ascii="Times New Roman" w:hAnsi="Times New Roman" w:eastAsia="宋体" w:cs="Times New Roman"/>
          <w:bCs/>
          <w:color w:val="auto"/>
          <w:sz w:val="24"/>
          <w:szCs w:val="24"/>
          <w:highlight w:val="none"/>
          <w:u w:val="single"/>
          <w:lang w:val="en-US" w:eastAsia="zh-CN"/>
        </w:rPr>
        <w:t>11</w:t>
      </w:r>
      <w:r>
        <w:rPr>
          <w:rFonts w:hint="default" w:ascii="Times New Roman" w:hAnsi="Times New Roman" w:eastAsia="宋体" w:cs="Times New Roman"/>
          <w:bCs/>
          <w:color w:val="auto"/>
          <w:sz w:val="24"/>
          <w:szCs w:val="24"/>
          <w:highlight w:val="none"/>
          <w:u w:val="single"/>
        </w:rPr>
        <w:t>日</w:t>
      </w:r>
      <w:r>
        <w:rPr>
          <w:rFonts w:hint="eastAsia" w:ascii="Times New Roman" w:hAnsi="Times New Roman" w:eastAsia="宋体" w:cs="Times New Roman"/>
          <w:bCs/>
          <w:color w:val="auto"/>
          <w:sz w:val="24"/>
          <w:szCs w:val="24"/>
          <w:highlight w:val="none"/>
          <w:u w:val="single"/>
          <w:lang w:val="en-US" w:eastAsia="zh-CN"/>
        </w:rPr>
        <w:t>14</w:t>
      </w:r>
      <w:r>
        <w:rPr>
          <w:rFonts w:hint="default" w:ascii="Times New Roman" w:hAnsi="Times New Roman" w:eastAsia="宋体" w:cs="Times New Roman"/>
          <w:bCs/>
          <w:color w:val="auto"/>
          <w:sz w:val="24"/>
          <w:szCs w:val="24"/>
          <w:highlight w:val="none"/>
          <w:u w:val="single"/>
        </w:rPr>
        <w:t>点</w:t>
      </w:r>
      <w:r>
        <w:rPr>
          <w:rFonts w:hint="eastAsia" w:ascii="Times New Roman" w:hAnsi="Times New Roman" w:eastAsia="宋体" w:cs="Times New Roman"/>
          <w:bCs/>
          <w:color w:val="auto"/>
          <w:sz w:val="24"/>
          <w:szCs w:val="24"/>
          <w:highlight w:val="none"/>
          <w:u w:val="single"/>
          <w:lang w:val="en-US" w:eastAsia="zh-CN"/>
        </w:rPr>
        <w:t>3</w:t>
      </w:r>
      <w:r>
        <w:rPr>
          <w:rFonts w:hint="default" w:ascii="Times New Roman" w:hAnsi="Times New Roman" w:eastAsia="宋体" w:cs="Times New Roman"/>
          <w:bCs/>
          <w:color w:val="auto"/>
          <w:sz w:val="24"/>
          <w:szCs w:val="24"/>
          <w:highlight w:val="none"/>
          <w:u w:val="single"/>
        </w:rPr>
        <w:t>0分（</w:t>
      </w:r>
      <w:r>
        <w:rPr>
          <w:rFonts w:hint="default" w:ascii="Times New Roman" w:hAnsi="Times New Roman" w:eastAsia="宋体" w:cs="Times New Roman"/>
          <w:bCs/>
          <w:color w:val="auto"/>
          <w:sz w:val="24"/>
          <w:szCs w:val="24"/>
          <w:highlight w:val="none"/>
        </w:rPr>
        <w:t>北京时间）前递交投标文件</w:t>
      </w:r>
      <w:r>
        <w:rPr>
          <w:rFonts w:hint="default" w:ascii="Times New Roman" w:hAnsi="Times New Roman" w:eastAsia="宋体" w:cs="Times New Roman"/>
          <w:color w:val="auto"/>
          <w:sz w:val="24"/>
          <w:szCs w:val="24"/>
          <w:highlight w:val="none"/>
        </w:rPr>
        <w:t>。</w:t>
      </w:r>
    </w:p>
    <w:p w14:paraId="36D53EC8">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hint="default" w:ascii="Times New Roman" w:hAnsi="Times New Roman" w:eastAsia="宋体" w:cs="Times New Roman"/>
          <w:color w:val="auto"/>
          <w:sz w:val="24"/>
          <w:szCs w:val="24"/>
          <w:highlight w:val="none"/>
        </w:rPr>
      </w:pPr>
    </w:p>
    <w:p w14:paraId="6DA74FD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bookmarkStart w:id="1" w:name="_Toc35393621"/>
      <w:bookmarkStart w:id="2" w:name="_Toc28359002"/>
      <w:bookmarkStart w:id="3" w:name="_Toc35393790"/>
      <w:bookmarkStart w:id="4" w:name="_Toc28359079"/>
      <w:bookmarkStart w:id="5" w:name="_Hlk24379207"/>
      <w:r>
        <w:rPr>
          <w:rFonts w:hint="default" w:ascii="Times New Roman" w:hAnsi="Times New Roman" w:eastAsia="宋体" w:cs="Times New Roman"/>
          <w:b/>
          <w:bCs/>
          <w:color w:val="auto"/>
          <w:sz w:val="24"/>
          <w:szCs w:val="24"/>
          <w:highlight w:val="none"/>
        </w:rPr>
        <w:t>一、项目基本情况</w:t>
      </w:r>
      <w:bookmarkEnd w:id="1"/>
      <w:bookmarkEnd w:id="2"/>
      <w:bookmarkEnd w:id="3"/>
      <w:bookmarkEnd w:id="4"/>
    </w:p>
    <w:p w14:paraId="1F7AC9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项目名称：</w:t>
      </w:r>
      <w:bookmarkEnd w:id="5"/>
      <w:r>
        <w:rPr>
          <w:rFonts w:hint="eastAsia" w:ascii="宋体" w:hAnsi="宋体" w:eastAsia="宋体" w:cs="宋体"/>
          <w:color w:val="auto"/>
          <w:sz w:val="24"/>
          <w:szCs w:val="24"/>
          <w:highlight w:val="none"/>
          <w:lang w:val="en-US" w:eastAsia="zh-CN"/>
        </w:rPr>
        <w:t>滨湖卓越城文华园一期8#楼4层装修改造</w:t>
      </w:r>
    </w:p>
    <w:p w14:paraId="5D9C06C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2、项目概况：</w:t>
      </w:r>
      <w:r>
        <w:rPr>
          <w:rFonts w:hint="eastAsia" w:ascii="宋体" w:hAnsi="宋体" w:eastAsia="宋体" w:cs="宋体"/>
          <w:color w:val="auto"/>
          <w:sz w:val="24"/>
          <w:szCs w:val="24"/>
          <w:highlight w:val="none"/>
          <w:lang w:val="en-US" w:eastAsia="zh-CN"/>
        </w:rPr>
        <w:t>滨湖卓越城文华园一期</w:t>
      </w:r>
      <w:r>
        <w:rPr>
          <w:rFonts w:hint="eastAsia" w:ascii="Times New Roman" w:hAnsi="Times New Roman" w:eastAsia="宋体" w:cs="Times New Roman"/>
          <w:color w:val="auto"/>
          <w:sz w:val="24"/>
          <w:szCs w:val="24"/>
          <w:highlight w:val="none"/>
          <w:lang w:val="en-US" w:eastAsia="zh-CN"/>
        </w:rPr>
        <w:t>位于包河区大圩镇，</w:t>
      </w:r>
      <w:r>
        <w:rPr>
          <w:rFonts w:hint="default" w:ascii="Times New Roman" w:hAnsi="Times New Roman" w:eastAsia="宋体" w:cs="Times New Roman"/>
          <w:color w:val="auto"/>
          <w:sz w:val="24"/>
          <w:szCs w:val="24"/>
          <w:highlight w:val="none"/>
          <w:lang w:val="en-US" w:eastAsia="zh-CN"/>
        </w:rPr>
        <w:t>为满足</w:t>
      </w:r>
      <w:r>
        <w:rPr>
          <w:rFonts w:hint="eastAsia" w:ascii="Times New Roman" w:hAnsi="Times New Roman" w:eastAsia="宋体" w:cs="Times New Roman"/>
          <w:color w:val="auto"/>
          <w:sz w:val="24"/>
          <w:szCs w:val="24"/>
          <w:highlight w:val="none"/>
          <w:lang w:val="en-US" w:eastAsia="zh-CN"/>
        </w:rPr>
        <w:t>公司运营要求，拟对</w:t>
      </w:r>
      <w:r>
        <w:rPr>
          <w:rFonts w:hint="eastAsia" w:ascii="宋体" w:hAnsi="宋体" w:eastAsia="宋体" w:cs="宋体"/>
          <w:color w:val="auto"/>
          <w:sz w:val="24"/>
          <w:szCs w:val="24"/>
          <w:highlight w:val="none"/>
          <w:lang w:val="en-US" w:eastAsia="zh-CN"/>
        </w:rPr>
        <w:t>8#楼4层正常进行装修改造，</w:t>
      </w:r>
      <w:r>
        <w:rPr>
          <w:rFonts w:hint="eastAsia" w:ascii="Times New Roman" w:hAnsi="Times New Roman" w:eastAsia="宋体" w:cs="Times New Roman"/>
          <w:color w:val="auto"/>
          <w:sz w:val="24"/>
          <w:szCs w:val="24"/>
          <w:highlight w:val="none"/>
          <w:lang w:val="en-US" w:eastAsia="zh-CN"/>
        </w:rPr>
        <w:t>建筑面积约400平方米，主要装修内容为地面贴砖、墙面乳胶漆涂料、顶面黑色涂料、卫生间改造等。</w:t>
      </w:r>
    </w:p>
    <w:p w14:paraId="124986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最高限价：</w:t>
      </w:r>
      <w:r>
        <w:rPr>
          <w:rFonts w:hint="eastAsia" w:ascii="Times New Roman" w:hAnsi="Times New Roman" w:eastAsia="宋体" w:cs="Times New Roman"/>
          <w:color w:val="auto"/>
          <w:sz w:val="24"/>
          <w:szCs w:val="24"/>
          <w:highlight w:val="none"/>
          <w:u w:val="single"/>
          <w:lang w:val="en-US" w:eastAsia="zh-CN"/>
        </w:rPr>
        <w:t xml:space="preserve"> 25 </w:t>
      </w:r>
      <w:r>
        <w:rPr>
          <w:rFonts w:hint="default" w:ascii="Times New Roman" w:hAnsi="Times New Roman" w:eastAsia="宋体" w:cs="Times New Roman"/>
          <w:color w:val="auto"/>
          <w:sz w:val="24"/>
          <w:szCs w:val="24"/>
          <w:highlight w:val="none"/>
        </w:rPr>
        <w:t>万元</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本项目工程量较为简单，投标报价即为最终报价，一经确定不作调整。</w:t>
      </w:r>
    </w:p>
    <w:p w14:paraId="131551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采购需求：详见招标文件</w:t>
      </w:r>
    </w:p>
    <w:p w14:paraId="2C59C8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合同履行期限：详见招标文件</w:t>
      </w:r>
    </w:p>
    <w:p w14:paraId="4765A9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本项目不接受联合体投标。</w:t>
      </w:r>
    </w:p>
    <w:p w14:paraId="3047B274">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w:t>
      </w:r>
      <w:r>
        <w:rPr>
          <w:rFonts w:hint="default" w:ascii="Times New Roman" w:hAnsi="Times New Roman" w:eastAsia="宋体" w:cs="Times New Roman"/>
          <w:b/>
          <w:bCs/>
          <w:color w:val="auto"/>
          <w:sz w:val="24"/>
          <w:szCs w:val="24"/>
          <w:highlight w:val="none"/>
          <w:lang w:val="en-US" w:eastAsia="zh-CN"/>
        </w:rPr>
        <w:t>投标</w:t>
      </w:r>
      <w:r>
        <w:rPr>
          <w:rFonts w:hint="default" w:ascii="Times New Roman" w:hAnsi="Times New Roman" w:eastAsia="宋体" w:cs="Times New Roman"/>
          <w:b/>
          <w:bCs/>
          <w:color w:val="auto"/>
          <w:sz w:val="24"/>
          <w:szCs w:val="24"/>
          <w:highlight w:val="none"/>
        </w:rPr>
        <w:t>人的资格要求：</w:t>
      </w:r>
    </w:p>
    <w:p w14:paraId="07B31D57">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投标人应</w:t>
      </w:r>
      <w:r>
        <w:rPr>
          <w:rFonts w:hint="eastAsia" w:ascii="Times New Roman" w:hAnsi="Times New Roman" w:eastAsia="宋体" w:cs="Times New Roman"/>
          <w:color w:val="auto"/>
          <w:sz w:val="24"/>
          <w:szCs w:val="24"/>
          <w:highlight w:val="none"/>
          <w:lang w:val="en-US" w:eastAsia="zh-CN"/>
        </w:rPr>
        <w:t>同时</w:t>
      </w:r>
      <w:r>
        <w:rPr>
          <w:rFonts w:hint="default" w:ascii="Times New Roman" w:hAnsi="Times New Roman" w:eastAsia="宋体" w:cs="Times New Roman"/>
          <w:color w:val="auto"/>
          <w:sz w:val="24"/>
          <w:szCs w:val="24"/>
          <w:highlight w:val="none"/>
        </w:rPr>
        <w:t>具备下列</w:t>
      </w:r>
      <w:r>
        <w:rPr>
          <w:rFonts w:hint="eastAsia" w:ascii="Times New Roman" w:hAnsi="Times New Roman" w:eastAsia="宋体" w:cs="Times New Roman"/>
          <w:color w:val="auto"/>
          <w:sz w:val="24"/>
          <w:szCs w:val="24"/>
          <w:highlight w:val="none"/>
          <w:lang w:val="en-US" w:eastAsia="zh-CN"/>
        </w:rPr>
        <w:t>资格</w:t>
      </w:r>
      <w:r>
        <w:rPr>
          <w:rFonts w:hint="default" w:ascii="Times New Roman" w:hAnsi="Times New Roman" w:eastAsia="宋体" w:cs="Times New Roman"/>
          <w:color w:val="auto"/>
          <w:sz w:val="24"/>
          <w:szCs w:val="24"/>
          <w:highlight w:val="none"/>
        </w:rPr>
        <w:t>：</w:t>
      </w:r>
    </w:p>
    <w:p w14:paraId="7F8EE209">
      <w:pPr>
        <w:snapToGrid/>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须是经中华人民共和国工商注册的独立法人</w:t>
      </w:r>
      <w:r>
        <w:rPr>
          <w:rFonts w:hint="eastAsia" w:ascii="Times New Roman" w:hAnsi="Times New Roman" w:eastAsia="宋体" w:cs="Times New Roman"/>
          <w:color w:val="auto"/>
          <w:sz w:val="24"/>
          <w:szCs w:val="24"/>
          <w:highlight w:val="none"/>
          <w:lang w:val="en-US" w:eastAsia="zh-CN"/>
        </w:rPr>
        <w:t>且</w:t>
      </w:r>
      <w:r>
        <w:rPr>
          <w:rFonts w:hint="default" w:ascii="Times New Roman" w:hAnsi="Times New Roman" w:eastAsia="宋体" w:cs="Times New Roman"/>
          <w:color w:val="auto"/>
          <w:sz w:val="24"/>
          <w:szCs w:val="24"/>
          <w:highlight w:val="none"/>
        </w:rPr>
        <w:t>具有有效的营业执照</w:t>
      </w:r>
      <w:r>
        <w:rPr>
          <w:rFonts w:hint="eastAsia" w:ascii="Times New Roman" w:hAnsi="Times New Roman" w:eastAsia="宋体" w:cs="Times New Roman"/>
          <w:color w:val="auto"/>
          <w:sz w:val="24"/>
          <w:szCs w:val="24"/>
          <w:highlight w:val="none"/>
          <w:lang w:eastAsia="zh-CN"/>
        </w:rPr>
        <w:t>；</w:t>
      </w:r>
    </w:p>
    <w:p w14:paraId="3259F7CB">
      <w:pPr>
        <w:snapToGrid/>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）投标人须具备具有建筑装修装饰工程专业承包贰级及以上资质，且具有有效的安全生产许可证。</w:t>
      </w:r>
    </w:p>
    <w:p w14:paraId="6F123082">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投标人业绩要求</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w:t>
      </w:r>
    </w:p>
    <w:p w14:paraId="0BEAD0C7">
      <w:pPr>
        <w:snapToGrid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备注：</w:t>
      </w:r>
    </w:p>
    <w:p w14:paraId="3672653A">
      <w:pPr>
        <w:pStyle w:val="6"/>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项目负责人业绩要求：</w:t>
      </w:r>
      <w:r>
        <w:rPr>
          <w:rFonts w:hint="eastAsia" w:ascii="Times New Roman" w:hAnsi="Times New Roman" w:eastAsia="宋体" w:cs="Times New Roman"/>
          <w:color w:val="auto"/>
          <w:sz w:val="24"/>
          <w:szCs w:val="24"/>
          <w:highlight w:val="none"/>
          <w:lang w:val="en-US" w:eastAsia="zh-CN"/>
        </w:rPr>
        <w:t>建筑工程专业二级及以上注册建造师及安全生产考核合格证书（B证）</w:t>
      </w:r>
      <w:r>
        <w:rPr>
          <w:rFonts w:hint="default" w:ascii="Times New Roman" w:hAnsi="Times New Roman" w:eastAsia="宋体" w:cs="Times New Roman"/>
          <w:color w:val="auto"/>
          <w:sz w:val="24"/>
          <w:szCs w:val="24"/>
          <w:highlight w:val="none"/>
        </w:rPr>
        <w:t>。</w:t>
      </w:r>
    </w:p>
    <w:p w14:paraId="3D5E8984">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投标人财务要求：/。</w:t>
      </w:r>
    </w:p>
    <w:p w14:paraId="78D971DE">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投标人未被合肥市及其所辖县（市）、区（开发区）公共资源交易监督管理部门记不良行为记录的；或被记不良行为记录（以公布日期为准），但同时符合下列情形的：</w:t>
      </w:r>
    </w:p>
    <w:p w14:paraId="386591DA">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开标日前（含当日）6 个月内记分累计未满 10 分的；</w:t>
      </w:r>
    </w:p>
    <w:p w14:paraId="7700F397">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开标日前（含当日）12 个月内记分累计未满 15 分的；</w:t>
      </w:r>
    </w:p>
    <w:p w14:paraId="1A337351">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开标日前（含当日）18 个月内记分累计未满 20 分的；</w:t>
      </w:r>
    </w:p>
    <w:p w14:paraId="50BBB5EE">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开标日前（含当日）24 个月内记分累计未满 25 分的。</w:t>
      </w:r>
    </w:p>
    <w:p w14:paraId="14B36095">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本次招标不接受联合体投标。</w:t>
      </w:r>
    </w:p>
    <w:p w14:paraId="7F3A5896">
      <w:pPr>
        <w:snapToGrid w:val="0"/>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三、获取招标文件</w:t>
      </w:r>
      <w:r>
        <w:rPr>
          <w:rFonts w:hint="default" w:ascii="Times New Roman" w:hAnsi="Times New Roman" w:eastAsia="宋体" w:cs="Times New Roman"/>
          <w:b/>
          <w:bCs/>
          <w:color w:val="auto"/>
          <w:sz w:val="24"/>
          <w:szCs w:val="24"/>
          <w:highlight w:val="none"/>
          <w:lang w:val="en-US" w:eastAsia="zh-CN"/>
        </w:rPr>
        <w:t>及报名方式</w:t>
      </w:r>
    </w:p>
    <w:p w14:paraId="3713D3C0">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时间：</w:t>
      </w:r>
      <w:r>
        <w:rPr>
          <w:rFonts w:hint="default" w:ascii="Times New Roman" w:hAnsi="Times New Roman" w:eastAsia="宋体" w:cs="Times New Roman"/>
          <w:color w:val="auto"/>
          <w:sz w:val="24"/>
          <w:szCs w:val="24"/>
          <w:highlight w:val="none"/>
          <w:u w:val="single"/>
        </w:rPr>
        <w:t>202</w:t>
      </w:r>
      <w:r>
        <w:rPr>
          <w:rFonts w:hint="eastAsia" w:ascii="Times New Roman" w:hAnsi="Times New Roman" w:eastAsia="宋体" w:cs="Times New Roman"/>
          <w:color w:val="auto"/>
          <w:sz w:val="24"/>
          <w:szCs w:val="24"/>
          <w:highlight w:val="none"/>
          <w:u w:val="single"/>
          <w:lang w:val="en-US" w:eastAsia="zh-CN"/>
        </w:rPr>
        <w:t>4</w:t>
      </w:r>
      <w:r>
        <w:rPr>
          <w:rFonts w:hint="default" w:ascii="Times New Roman" w:hAnsi="Times New Roman" w:eastAsia="宋体" w:cs="Times New Roman"/>
          <w:color w:val="auto"/>
          <w:sz w:val="24"/>
          <w:szCs w:val="24"/>
          <w:highlight w:val="none"/>
          <w:u w:val="single"/>
        </w:rPr>
        <w:t>年</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03</w:t>
      </w:r>
      <w:r>
        <w:rPr>
          <w:rFonts w:hint="default" w:ascii="Times New Roman" w:hAnsi="Times New Roman" w:eastAsia="宋体" w:cs="Times New Roman"/>
          <w:color w:val="auto"/>
          <w:sz w:val="24"/>
          <w:szCs w:val="24"/>
          <w:highlight w:val="none"/>
          <w:u w:val="single"/>
        </w:rPr>
        <w:t>月</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04</w:t>
      </w:r>
      <w:r>
        <w:rPr>
          <w:rFonts w:hint="default" w:ascii="Times New Roman" w:hAnsi="Times New Roman" w:eastAsia="宋体" w:cs="Times New Roman"/>
          <w:color w:val="auto"/>
          <w:sz w:val="24"/>
          <w:szCs w:val="24"/>
          <w:highlight w:val="none"/>
          <w:u w:val="single"/>
        </w:rPr>
        <w:t>日</w:t>
      </w:r>
      <w:r>
        <w:rPr>
          <w:rFonts w:hint="default" w:ascii="Times New Roman" w:hAnsi="Times New Roman" w:eastAsia="宋体" w:cs="Times New Roman"/>
          <w:color w:val="auto"/>
          <w:sz w:val="24"/>
          <w:szCs w:val="24"/>
          <w:highlight w:val="none"/>
        </w:rPr>
        <w:t>至</w:t>
      </w:r>
      <w:r>
        <w:rPr>
          <w:rFonts w:hint="default" w:ascii="Times New Roman" w:hAnsi="Times New Roman" w:eastAsia="宋体" w:cs="Times New Roman"/>
          <w:color w:val="auto"/>
          <w:sz w:val="24"/>
          <w:szCs w:val="24"/>
          <w:highlight w:val="none"/>
          <w:u w:val="single"/>
        </w:rPr>
        <w:t>202</w:t>
      </w:r>
      <w:r>
        <w:rPr>
          <w:rFonts w:hint="eastAsia" w:ascii="Times New Roman" w:hAnsi="Times New Roman" w:eastAsia="宋体" w:cs="Times New Roman"/>
          <w:color w:val="auto"/>
          <w:sz w:val="24"/>
          <w:szCs w:val="24"/>
          <w:highlight w:val="none"/>
          <w:u w:val="single"/>
          <w:lang w:val="en-US" w:eastAsia="zh-CN"/>
        </w:rPr>
        <w:t>4</w:t>
      </w:r>
      <w:r>
        <w:rPr>
          <w:rFonts w:hint="default" w:ascii="Times New Roman" w:hAnsi="Times New Roman" w:eastAsia="宋体" w:cs="Times New Roman"/>
          <w:color w:val="auto"/>
          <w:sz w:val="24"/>
          <w:szCs w:val="24"/>
          <w:highlight w:val="none"/>
          <w:u w:val="single"/>
        </w:rPr>
        <w:t>年</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03</w:t>
      </w:r>
      <w:r>
        <w:rPr>
          <w:rFonts w:hint="default" w:ascii="Times New Roman" w:hAnsi="Times New Roman" w:eastAsia="宋体" w:cs="Times New Roman"/>
          <w:color w:val="auto"/>
          <w:sz w:val="24"/>
          <w:szCs w:val="24"/>
          <w:highlight w:val="none"/>
          <w:u w:val="single"/>
        </w:rPr>
        <w:t>月</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11</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日</w:t>
      </w:r>
      <w:r>
        <w:rPr>
          <w:rFonts w:hint="default" w:ascii="Times New Roman" w:hAnsi="Times New Roman" w:eastAsia="宋体" w:cs="Times New Roman"/>
          <w:color w:val="auto"/>
          <w:sz w:val="24"/>
          <w:szCs w:val="24"/>
          <w:highlight w:val="none"/>
        </w:rPr>
        <w:t>，每天上午</w:t>
      </w:r>
      <w:r>
        <w:rPr>
          <w:rFonts w:hint="default" w:ascii="Times New Roman" w:hAnsi="Times New Roman" w:eastAsia="宋体" w:cs="Times New Roman"/>
          <w:color w:val="auto"/>
          <w:sz w:val="24"/>
          <w:szCs w:val="24"/>
          <w:highlight w:val="none"/>
          <w:u w:val="single"/>
        </w:rPr>
        <w:t>9:00</w:t>
      </w:r>
      <w:r>
        <w:rPr>
          <w:rFonts w:hint="default" w:ascii="Times New Roman" w:hAnsi="Times New Roman" w:eastAsia="宋体" w:cs="Times New Roman"/>
          <w:color w:val="auto"/>
          <w:sz w:val="24"/>
          <w:szCs w:val="24"/>
          <w:highlight w:val="none"/>
        </w:rPr>
        <w:t>至</w:t>
      </w:r>
      <w:r>
        <w:rPr>
          <w:rFonts w:hint="default" w:ascii="Times New Roman" w:hAnsi="Times New Roman" w:eastAsia="宋体" w:cs="Times New Roman"/>
          <w:color w:val="auto"/>
          <w:sz w:val="24"/>
          <w:szCs w:val="24"/>
          <w:highlight w:val="none"/>
          <w:u w:val="single"/>
        </w:rPr>
        <w:t>12:00</w:t>
      </w:r>
      <w:r>
        <w:rPr>
          <w:rFonts w:hint="default" w:ascii="Times New Roman" w:hAnsi="Times New Roman" w:eastAsia="宋体" w:cs="Times New Roman"/>
          <w:color w:val="auto"/>
          <w:sz w:val="24"/>
          <w:szCs w:val="24"/>
          <w:highlight w:val="none"/>
        </w:rPr>
        <w:t>，下午</w:t>
      </w:r>
      <w:r>
        <w:rPr>
          <w:rFonts w:hint="default" w:ascii="Times New Roman" w:hAnsi="Times New Roman" w:eastAsia="宋体" w:cs="Times New Roman"/>
          <w:color w:val="auto"/>
          <w:sz w:val="24"/>
          <w:szCs w:val="24"/>
          <w:highlight w:val="none"/>
          <w:u w:val="single"/>
        </w:rPr>
        <w:t>14:00</w:t>
      </w:r>
      <w:r>
        <w:rPr>
          <w:rFonts w:hint="default" w:ascii="Times New Roman" w:hAnsi="Times New Roman" w:eastAsia="宋体" w:cs="Times New Roman"/>
          <w:color w:val="auto"/>
          <w:sz w:val="24"/>
          <w:szCs w:val="24"/>
          <w:highlight w:val="none"/>
        </w:rPr>
        <w:t>至</w:t>
      </w:r>
      <w:r>
        <w:rPr>
          <w:rFonts w:hint="default" w:ascii="Times New Roman" w:hAnsi="Times New Roman" w:eastAsia="宋体" w:cs="Times New Roman"/>
          <w:color w:val="auto"/>
          <w:sz w:val="24"/>
          <w:szCs w:val="24"/>
          <w:highlight w:val="none"/>
          <w:u w:val="single"/>
        </w:rPr>
        <w:t>17:00</w:t>
      </w:r>
      <w:r>
        <w:rPr>
          <w:rFonts w:hint="default" w:ascii="Times New Roman" w:hAnsi="Times New Roman" w:eastAsia="宋体" w:cs="Times New Roman"/>
          <w:color w:val="auto"/>
          <w:sz w:val="24"/>
          <w:szCs w:val="24"/>
          <w:highlight w:val="none"/>
        </w:rPr>
        <w:t>（北京时间，法定节假日除外）</w:t>
      </w:r>
    </w:p>
    <w:p w14:paraId="07494F6A">
      <w:pPr>
        <w:snapToGrid w:val="0"/>
        <w:spacing w:line="360" w:lineRule="auto"/>
        <w:ind w:firstLine="480" w:firstLineChars="200"/>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rPr>
        <w:t>方式：登录</w:t>
      </w:r>
      <w:r>
        <w:rPr>
          <w:rFonts w:hint="default" w:ascii="Times New Roman" w:hAnsi="Times New Roman" w:eastAsia="宋体" w:cs="Times New Roman"/>
          <w:color w:val="auto"/>
          <w:sz w:val="24"/>
          <w:szCs w:val="24"/>
          <w:highlight w:val="none"/>
          <w:u w:val="single"/>
        </w:rPr>
        <w:t>合肥包河文广产业投资有限公司官方网站http://www.bhwgcy.com/</w:t>
      </w:r>
      <w:r>
        <w:rPr>
          <w:rFonts w:hint="default" w:ascii="Times New Roman" w:hAnsi="Times New Roman" w:eastAsia="宋体" w:cs="Times New Roman"/>
          <w:color w:val="auto"/>
          <w:sz w:val="24"/>
          <w:szCs w:val="24"/>
          <w:highlight w:val="none"/>
          <w:shd w:val="clear" w:color="auto" w:fill="FFFFFF"/>
        </w:rPr>
        <w:t>并下载招标文件及相关附件。在投标截止日前，将投标文件密封送至</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lang w:val="en-US" w:eastAsia="zh-CN"/>
        </w:rPr>
        <w:t>或快递</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rPr>
        <w:t>项目</w:t>
      </w:r>
      <w:r>
        <w:rPr>
          <w:rFonts w:hint="default" w:ascii="Times New Roman" w:hAnsi="Times New Roman" w:eastAsia="宋体" w:cs="Times New Roman"/>
          <w:color w:val="auto"/>
          <w:sz w:val="24"/>
          <w:szCs w:val="24"/>
          <w:highlight w:val="none"/>
          <w:shd w:val="clear" w:color="auto" w:fill="FFFFFF"/>
          <w:lang w:val="en-US" w:eastAsia="zh-CN"/>
        </w:rPr>
        <w:t>联系</w:t>
      </w:r>
      <w:r>
        <w:rPr>
          <w:rFonts w:hint="default" w:ascii="Times New Roman" w:hAnsi="Times New Roman" w:eastAsia="宋体" w:cs="Times New Roman"/>
          <w:color w:val="auto"/>
          <w:sz w:val="24"/>
          <w:szCs w:val="24"/>
          <w:highlight w:val="none"/>
          <w:shd w:val="clear" w:color="auto" w:fill="FFFFFF"/>
        </w:rPr>
        <w:t>人处即可。</w:t>
      </w:r>
    </w:p>
    <w:p w14:paraId="5689BB7E">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四、提交投标文件截止时间、开标时间和地点</w:t>
      </w:r>
    </w:p>
    <w:p w14:paraId="356BC64B">
      <w:pPr>
        <w:snapToGrid w:val="0"/>
        <w:spacing w:line="360" w:lineRule="auto"/>
        <w:ind w:firstLine="480" w:firstLineChars="200"/>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shd w:val="clear" w:color="auto" w:fill="FFFFFF"/>
        </w:rPr>
        <w:t>时间：</w:t>
      </w:r>
      <w:r>
        <w:rPr>
          <w:rFonts w:hint="default" w:ascii="Times New Roman" w:hAnsi="Times New Roman" w:eastAsia="宋体" w:cs="Times New Roman"/>
          <w:color w:val="auto"/>
          <w:sz w:val="24"/>
          <w:szCs w:val="24"/>
          <w:highlight w:val="none"/>
          <w:u w:val="single"/>
          <w:shd w:val="clear" w:color="auto" w:fill="FFFFFF"/>
        </w:rPr>
        <w:t>202</w:t>
      </w:r>
      <w:r>
        <w:rPr>
          <w:rFonts w:hint="eastAsia" w:ascii="Times New Roman" w:hAnsi="Times New Roman" w:eastAsia="宋体" w:cs="Times New Roman"/>
          <w:color w:val="auto"/>
          <w:sz w:val="24"/>
          <w:szCs w:val="24"/>
          <w:highlight w:val="none"/>
          <w:u w:val="single"/>
          <w:shd w:val="clear" w:color="auto" w:fill="FFFFFF"/>
          <w:lang w:val="en-US" w:eastAsia="zh-CN"/>
        </w:rPr>
        <w:t>4</w:t>
      </w:r>
      <w:r>
        <w:rPr>
          <w:rFonts w:hint="default" w:ascii="Times New Roman" w:hAnsi="Times New Roman" w:eastAsia="宋体" w:cs="Times New Roman"/>
          <w:color w:val="auto"/>
          <w:sz w:val="24"/>
          <w:szCs w:val="24"/>
          <w:highlight w:val="none"/>
          <w:u w:val="single"/>
          <w:shd w:val="clear" w:color="auto" w:fill="FFFFFF"/>
        </w:rPr>
        <w:t>年</w:t>
      </w:r>
      <w:r>
        <w:rPr>
          <w:rFonts w:hint="eastAsia" w:ascii="Times New Roman" w:hAnsi="Times New Roman" w:eastAsia="宋体" w:cs="Times New Roman"/>
          <w:color w:val="auto"/>
          <w:sz w:val="24"/>
          <w:szCs w:val="24"/>
          <w:highlight w:val="none"/>
          <w:u w:val="single"/>
          <w:shd w:val="clear" w:color="auto" w:fill="FFFFFF"/>
          <w:lang w:val="en-US" w:eastAsia="zh-CN"/>
        </w:rPr>
        <w:t>03</w:t>
      </w:r>
      <w:r>
        <w:rPr>
          <w:rFonts w:hint="default" w:ascii="Times New Roman" w:hAnsi="Times New Roman" w:eastAsia="宋体" w:cs="Times New Roman"/>
          <w:color w:val="auto"/>
          <w:sz w:val="24"/>
          <w:szCs w:val="24"/>
          <w:highlight w:val="none"/>
          <w:u w:val="single"/>
          <w:shd w:val="clear" w:color="auto" w:fill="FFFFFF"/>
        </w:rPr>
        <w:t>月</w:t>
      </w:r>
      <w:r>
        <w:rPr>
          <w:rFonts w:hint="eastAsia" w:ascii="Times New Roman" w:hAnsi="Times New Roman" w:eastAsia="宋体" w:cs="Times New Roman"/>
          <w:color w:val="auto"/>
          <w:sz w:val="24"/>
          <w:szCs w:val="24"/>
          <w:highlight w:val="none"/>
          <w:u w:val="single"/>
          <w:shd w:val="clear" w:color="auto" w:fill="FFFFFF"/>
          <w:lang w:val="en-US" w:eastAsia="zh-CN"/>
        </w:rPr>
        <w:t>11</w:t>
      </w:r>
      <w:r>
        <w:rPr>
          <w:rFonts w:hint="default" w:ascii="Times New Roman" w:hAnsi="Times New Roman" w:eastAsia="宋体" w:cs="Times New Roman"/>
          <w:color w:val="auto"/>
          <w:sz w:val="24"/>
          <w:szCs w:val="24"/>
          <w:highlight w:val="none"/>
          <w:u w:val="single"/>
          <w:shd w:val="clear" w:color="auto" w:fill="FFFFFF"/>
        </w:rPr>
        <w:t>日</w:t>
      </w:r>
      <w:r>
        <w:rPr>
          <w:rFonts w:hint="eastAsia" w:ascii="Times New Roman" w:hAnsi="Times New Roman" w:eastAsia="宋体" w:cs="Times New Roman"/>
          <w:color w:val="auto"/>
          <w:sz w:val="24"/>
          <w:szCs w:val="24"/>
          <w:highlight w:val="none"/>
          <w:u w:val="single"/>
          <w:shd w:val="clear" w:color="auto" w:fill="FFFFFF"/>
          <w:lang w:val="en-US" w:eastAsia="zh-CN"/>
        </w:rPr>
        <w:t>14</w:t>
      </w:r>
      <w:r>
        <w:rPr>
          <w:rFonts w:hint="default" w:ascii="Times New Roman" w:hAnsi="Times New Roman" w:eastAsia="宋体" w:cs="Times New Roman"/>
          <w:color w:val="auto"/>
          <w:sz w:val="24"/>
          <w:szCs w:val="24"/>
          <w:highlight w:val="none"/>
          <w:u w:val="single"/>
          <w:shd w:val="clear" w:color="auto" w:fill="FFFFFF"/>
        </w:rPr>
        <w:t>点</w:t>
      </w:r>
      <w:r>
        <w:rPr>
          <w:rFonts w:hint="eastAsia" w:ascii="Times New Roman" w:hAnsi="Times New Roman" w:eastAsia="宋体" w:cs="Times New Roman"/>
          <w:color w:val="auto"/>
          <w:sz w:val="24"/>
          <w:szCs w:val="24"/>
          <w:highlight w:val="none"/>
          <w:u w:val="single"/>
          <w:shd w:val="clear" w:color="auto" w:fill="FFFFFF"/>
          <w:lang w:val="en-US" w:eastAsia="zh-CN"/>
        </w:rPr>
        <w:t>3</w:t>
      </w:r>
      <w:r>
        <w:rPr>
          <w:rFonts w:hint="default" w:ascii="Times New Roman" w:hAnsi="Times New Roman" w:eastAsia="宋体" w:cs="Times New Roman"/>
          <w:color w:val="auto"/>
          <w:sz w:val="24"/>
          <w:szCs w:val="24"/>
          <w:highlight w:val="none"/>
          <w:u w:val="single"/>
          <w:shd w:val="clear" w:color="auto" w:fill="FFFFFF"/>
        </w:rPr>
        <w:t>0分</w:t>
      </w:r>
      <w:r>
        <w:rPr>
          <w:rFonts w:hint="default" w:ascii="Times New Roman" w:hAnsi="Times New Roman" w:eastAsia="宋体" w:cs="Times New Roman"/>
          <w:color w:val="auto"/>
          <w:sz w:val="24"/>
          <w:szCs w:val="24"/>
          <w:highlight w:val="none"/>
          <w:shd w:val="clear" w:color="auto" w:fill="FFFFFF"/>
        </w:rPr>
        <w:t>（北京时间）</w:t>
      </w:r>
    </w:p>
    <w:p w14:paraId="46E20DB0">
      <w:pPr>
        <w:snapToGrid w:val="0"/>
        <w:spacing w:line="360" w:lineRule="auto"/>
        <w:ind w:firstLine="480" w:firstLineChars="200"/>
        <w:rPr>
          <w:rFonts w:hint="default" w:ascii="Times New Roman" w:hAnsi="Times New Roman" w:eastAsia="宋体" w:cs="Times New Roman"/>
          <w:color w:val="auto"/>
          <w:sz w:val="24"/>
          <w:szCs w:val="24"/>
          <w:highlight w:val="none"/>
          <w:shd w:val="clear" w:color="auto" w:fill="FFFFFF"/>
          <w:lang w:val="en-US" w:eastAsia="zh-CN"/>
        </w:rPr>
      </w:pPr>
      <w:r>
        <w:rPr>
          <w:rFonts w:hint="eastAsia" w:ascii="Times New Roman" w:hAnsi="Times New Roman" w:eastAsia="宋体" w:cs="Times New Roman"/>
          <w:color w:val="auto"/>
          <w:sz w:val="24"/>
          <w:szCs w:val="24"/>
          <w:highlight w:val="none"/>
          <w:shd w:val="clear" w:color="auto" w:fill="FFFFFF"/>
          <w:lang w:val="en-US" w:eastAsia="zh-CN"/>
        </w:rPr>
        <w:t>备注：开标时间同提交投标文件截止时间</w:t>
      </w:r>
    </w:p>
    <w:p w14:paraId="4AE04583">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地点：</w:t>
      </w:r>
      <w:r>
        <w:rPr>
          <w:rFonts w:hint="default" w:ascii="Times New Roman" w:hAnsi="Times New Roman" w:eastAsia="宋体" w:cs="Times New Roman"/>
          <w:color w:val="auto"/>
          <w:sz w:val="24"/>
          <w:szCs w:val="24"/>
          <w:highlight w:val="none"/>
          <w:u w:val="single"/>
        </w:rPr>
        <w:t>合肥市包河区大圩镇花园大道365号</w:t>
      </w:r>
      <w:r>
        <w:rPr>
          <w:rFonts w:hint="default"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合肥</w:t>
      </w:r>
      <w:r>
        <w:rPr>
          <w:rFonts w:hint="eastAsia" w:ascii="Times New Roman" w:hAnsi="Times New Roman" w:eastAsia="宋体" w:cs="Times New Roman"/>
          <w:color w:val="auto"/>
          <w:sz w:val="24"/>
          <w:szCs w:val="24"/>
          <w:highlight w:val="none"/>
          <w:u w:val="single"/>
          <w:lang w:val="en-US" w:eastAsia="zh-CN"/>
        </w:rPr>
        <w:t>包河文广产业投资有限公司会议室</w:t>
      </w:r>
    </w:p>
    <w:p w14:paraId="5276EE0E">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五、公告期限</w:t>
      </w:r>
    </w:p>
    <w:p w14:paraId="5681BE00">
      <w:pPr>
        <w:snapToGrid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自本公告发布之日起</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rPr>
        <w:t>日</w:t>
      </w:r>
      <w:r>
        <w:rPr>
          <w:rFonts w:hint="default" w:ascii="Times New Roman" w:hAnsi="Times New Roman" w:eastAsia="宋体" w:cs="Times New Roman"/>
          <w:color w:val="auto"/>
          <w:kern w:val="0"/>
          <w:sz w:val="24"/>
          <w:szCs w:val="24"/>
          <w:highlight w:val="none"/>
          <w:lang w:val="en-US" w:eastAsia="zh-CN"/>
        </w:rPr>
        <w:t>内</w:t>
      </w:r>
      <w:r>
        <w:rPr>
          <w:rFonts w:hint="default" w:ascii="Times New Roman" w:hAnsi="Times New Roman" w:eastAsia="宋体" w:cs="Times New Roman"/>
          <w:color w:val="auto"/>
          <w:kern w:val="0"/>
          <w:sz w:val="24"/>
          <w:szCs w:val="24"/>
          <w:highlight w:val="none"/>
        </w:rPr>
        <w:t>。</w:t>
      </w:r>
    </w:p>
    <w:p w14:paraId="1AB0466E">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六、其他补充事宜</w:t>
      </w:r>
    </w:p>
    <w:p w14:paraId="0AD90BB5">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1.潜在投标人必须在获取截止时间前完成登记，未登记、逾期登记的投标均无效。获取过程中有任何疑问或问题，请与项目联系人联系；</w:t>
      </w:r>
    </w:p>
    <w:p w14:paraId="3E7A1491">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2.本次招标公告同时在</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上发布。</w:t>
      </w:r>
    </w:p>
    <w:p w14:paraId="5DB79FB2">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3.潜在投标人应合理安排招标文件获取时间，特别是网络速度慢的地区防止在系统关闭前网络拥堵无法操作。如果因计算机及网络故障造成无法完成招标文件获取，责任自负。</w:t>
      </w:r>
    </w:p>
    <w:p w14:paraId="13E3F92A">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七、对本次招标提出询问，请按以下方式联系。</w:t>
      </w:r>
    </w:p>
    <w:p w14:paraId="256F9FEE">
      <w:pPr>
        <w:widowControl/>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信息</w:t>
      </w:r>
    </w:p>
    <w:p w14:paraId="7B62A7DB">
      <w:pPr>
        <w:snapToGrid w:val="0"/>
        <w:spacing w:line="360" w:lineRule="auto"/>
        <w:ind w:firstLine="480" w:firstLineChars="200"/>
        <w:jc w:val="left"/>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名称：</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合肥包河文广产业投资有限公司</w:t>
      </w:r>
      <w:r>
        <w:rPr>
          <w:rFonts w:hint="eastAsia" w:ascii="Times New Roman" w:hAnsi="Times New Roman" w:eastAsia="宋体" w:cs="Times New Roman"/>
          <w:color w:val="auto"/>
          <w:sz w:val="24"/>
          <w:szCs w:val="24"/>
          <w:highlight w:val="none"/>
          <w:u w:val="single"/>
          <w:lang w:val="en-US" w:eastAsia="zh-CN"/>
        </w:rPr>
        <w:t xml:space="preserve">    </w:t>
      </w:r>
    </w:p>
    <w:p w14:paraId="07C2169B">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地址：</w:t>
      </w:r>
      <w:r>
        <w:rPr>
          <w:rFonts w:hint="default" w:ascii="Times New Roman" w:hAnsi="Times New Roman" w:eastAsia="宋体" w:cs="Times New Roman"/>
          <w:color w:val="auto"/>
          <w:sz w:val="24"/>
          <w:szCs w:val="24"/>
          <w:highlight w:val="none"/>
          <w:u w:val="single"/>
        </w:rPr>
        <w:t>合肥市包河区大圩镇花园大道365号</w:t>
      </w:r>
      <w:r>
        <w:rPr>
          <w:rFonts w:hint="default" w:ascii="Times New Roman" w:hAnsi="Times New Roman" w:eastAsia="宋体" w:cs="Times New Roman"/>
          <w:color w:val="auto"/>
          <w:sz w:val="24"/>
          <w:szCs w:val="24"/>
          <w:highlight w:val="none"/>
          <w:u w:val="single"/>
          <w:lang w:eastAsia="zh-CN"/>
        </w:rPr>
        <w:t>，</w:t>
      </w:r>
      <w:r>
        <w:rPr>
          <w:rFonts w:hint="eastAsia" w:ascii="Times New Roman" w:hAnsi="Times New Roman" w:eastAsia="宋体" w:cs="Times New Roman"/>
          <w:color w:val="auto"/>
          <w:sz w:val="24"/>
          <w:szCs w:val="24"/>
          <w:highlight w:val="none"/>
          <w:u w:val="single"/>
          <w:lang w:val="en-US" w:eastAsia="zh-CN"/>
        </w:rPr>
        <w:t>滨湖卓越城</w:t>
      </w:r>
      <w:r>
        <w:rPr>
          <w:rFonts w:hint="default" w:ascii="Times New Roman" w:hAnsi="Times New Roman" w:eastAsia="宋体" w:cs="Times New Roman"/>
          <w:color w:val="auto"/>
          <w:sz w:val="24"/>
          <w:szCs w:val="24"/>
          <w:highlight w:val="none"/>
          <w:u w:val="single"/>
          <w:lang w:val="en-US" w:eastAsia="zh-CN"/>
        </w:rPr>
        <w:t>文华园A2栋</w:t>
      </w:r>
      <w:r>
        <w:rPr>
          <w:rFonts w:hint="eastAsia" w:ascii="Times New Roman" w:hAnsi="Times New Roman" w:eastAsia="宋体" w:cs="Times New Roman"/>
          <w:color w:val="auto"/>
          <w:sz w:val="24"/>
          <w:szCs w:val="24"/>
          <w:highlight w:val="none"/>
          <w:u w:val="single"/>
          <w:lang w:val="en-US" w:eastAsia="zh-CN"/>
        </w:rPr>
        <w:t>4</w:t>
      </w:r>
      <w:r>
        <w:rPr>
          <w:rFonts w:hint="default" w:ascii="Times New Roman" w:hAnsi="Times New Roman" w:eastAsia="宋体" w:cs="Times New Roman"/>
          <w:color w:val="auto"/>
          <w:sz w:val="24"/>
          <w:szCs w:val="24"/>
          <w:highlight w:val="none"/>
          <w:u w:val="single"/>
          <w:lang w:val="en-US" w:eastAsia="zh-CN"/>
        </w:rPr>
        <w:t>楼</w:t>
      </w:r>
    </w:p>
    <w:p w14:paraId="3109AFCC">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2.项目联系方式</w:t>
      </w:r>
    </w:p>
    <w:p w14:paraId="45798FBD">
      <w:pPr>
        <w:pStyle w:val="11"/>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项目</w:t>
      </w:r>
      <w:r>
        <w:rPr>
          <w:rFonts w:hint="default" w:ascii="Times New Roman" w:hAnsi="Times New Roman" w:cs="Times New Roman"/>
          <w:color w:val="auto"/>
          <w:sz w:val="24"/>
          <w:szCs w:val="24"/>
          <w:highlight w:val="none"/>
          <w:lang w:val="en-US" w:eastAsia="zh-CN"/>
        </w:rPr>
        <w:t>联系</w:t>
      </w:r>
      <w:r>
        <w:rPr>
          <w:rFonts w:hint="default" w:ascii="Times New Roman" w:hAnsi="Times New Roman" w:cs="Times New Roman"/>
          <w:color w:val="auto"/>
          <w:sz w:val="24"/>
          <w:szCs w:val="24"/>
          <w:highlight w:val="none"/>
        </w:rPr>
        <w:t>人：</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p>
    <w:p w14:paraId="65D986CB">
      <w:pPr>
        <w:snapToGrid w:val="0"/>
        <w:spacing w:line="360" w:lineRule="auto"/>
        <w:ind w:firstLine="480" w:firstLineChars="200"/>
        <w:rPr>
          <w:rFonts w:hint="default" w:ascii="Times New Roman" w:hAnsi="Times New Roman" w:cs="Times New Roman"/>
          <w:color w:val="auto"/>
        </w:rPr>
      </w:pPr>
      <w:r>
        <w:rPr>
          <w:rFonts w:hint="default" w:ascii="Times New Roman" w:hAnsi="Times New Roman" w:eastAsia="宋体" w:cs="Times New Roman"/>
          <w:color w:val="auto"/>
          <w:sz w:val="24"/>
          <w:szCs w:val="24"/>
          <w:highlight w:val="none"/>
          <w:lang w:val="en-US" w:eastAsia="zh-CN"/>
        </w:rPr>
        <w:t>联系</w:t>
      </w:r>
      <w:r>
        <w:rPr>
          <w:rFonts w:hint="default" w:ascii="Times New Roman" w:hAnsi="Times New Roman" w:eastAsia="宋体" w:cs="Times New Roman"/>
          <w:color w:val="auto"/>
          <w:sz w:val="24"/>
          <w:szCs w:val="24"/>
          <w:highlight w:val="none"/>
        </w:rPr>
        <w:t>电话：</w:t>
      </w:r>
      <w:r>
        <w:rPr>
          <w:rFonts w:hint="default" w:ascii="Times New Roman" w:hAnsi="Times New Roman" w:eastAsia="宋体" w:cs="Times New Roman"/>
          <w:color w:val="auto"/>
          <w:sz w:val="24"/>
          <w:szCs w:val="24"/>
          <w:highlight w:val="none"/>
          <w:u w:val="single"/>
          <w:lang w:val="en-US" w:eastAsia="zh-CN"/>
        </w:rPr>
        <w:t xml:space="preserve">                  </w:t>
      </w:r>
    </w:p>
    <w:p w14:paraId="448FB8AA">
      <w:pPr>
        <w:pStyle w:val="5"/>
        <w:rPr>
          <w:rFonts w:hint="eastAsia"/>
          <w:lang w:val="en-US" w:eastAsia="zh-CN"/>
        </w:rPr>
      </w:pPr>
    </w:p>
    <w:p w14:paraId="137790A0">
      <w:pPr>
        <w:widowControl w:val="0"/>
        <w:numPr>
          <w:ilvl w:val="0"/>
          <w:numId w:val="0"/>
        </w:numPr>
        <w:jc w:val="both"/>
        <w:rPr>
          <w:rFonts w:hint="eastAsia" w:ascii="宋体" w:hAnsi="宋体" w:eastAsia="宋体" w:cs="宋体"/>
          <w:b/>
          <w:bCs/>
          <w:sz w:val="28"/>
          <w:szCs w:val="28"/>
          <w:u w:val="none"/>
          <w:lang w:val="en-US" w:eastAsia="zh-CN"/>
        </w:rPr>
      </w:pPr>
    </w:p>
    <w:p w14:paraId="1C025FA0">
      <w:pPr>
        <w:widowControl w:val="0"/>
        <w:numPr>
          <w:ilvl w:val="0"/>
          <w:numId w:val="0"/>
        </w:numPr>
        <w:jc w:val="both"/>
        <w:rPr>
          <w:rFonts w:hint="default" w:ascii="宋体" w:hAnsi="宋体" w:eastAsia="宋体" w:cs="宋体"/>
          <w:b/>
          <w:bCs/>
          <w:sz w:val="28"/>
          <w:szCs w:val="28"/>
          <w:u w:val="none"/>
          <w:lang w:val="en-US" w:eastAsia="zh-CN"/>
        </w:rPr>
      </w:pPr>
    </w:p>
    <w:p w14:paraId="50D3173F">
      <w:pPr>
        <w:pStyle w:val="5"/>
        <w:rPr>
          <w:rFonts w:hint="default" w:ascii="宋体" w:hAnsi="宋体" w:eastAsia="宋体" w:cs="宋体"/>
          <w:b/>
          <w:bCs/>
          <w:sz w:val="28"/>
          <w:szCs w:val="28"/>
          <w:u w:val="none"/>
          <w:lang w:val="en-US" w:eastAsia="zh-CN"/>
        </w:rPr>
      </w:pPr>
    </w:p>
    <w:p w14:paraId="156FFE6C">
      <w:pPr>
        <w:rPr>
          <w:rFonts w:hint="default" w:ascii="宋体" w:hAnsi="宋体" w:eastAsia="宋体" w:cs="宋体"/>
          <w:b/>
          <w:bCs/>
          <w:sz w:val="28"/>
          <w:szCs w:val="28"/>
          <w:u w:val="none"/>
          <w:lang w:val="en-US" w:eastAsia="zh-CN"/>
        </w:rPr>
      </w:pPr>
    </w:p>
    <w:p w14:paraId="42D0E95E">
      <w:pPr>
        <w:spacing w:line="360" w:lineRule="auto"/>
        <w:jc w:val="both"/>
        <w:outlineLvl w:val="1"/>
        <w:rPr>
          <w:rFonts w:hint="default" w:ascii="Times New Roman" w:hAnsi="Times New Roman" w:eastAsia="宋体" w:cs="Times New Roman"/>
          <w:b/>
          <w:color w:val="auto"/>
          <w:sz w:val="28"/>
          <w:highlight w:val="none"/>
        </w:rPr>
      </w:pPr>
    </w:p>
    <w:p w14:paraId="2B129E3E">
      <w:pPr>
        <w:spacing w:line="360" w:lineRule="auto"/>
        <w:jc w:val="both"/>
        <w:outlineLvl w:val="1"/>
        <w:rPr>
          <w:rFonts w:hint="default" w:ascii="Times New Roman" w:hAnsi="Times New Roman" w:eastAsia="宋体" w:cs="Times New Roman"/>
          <w:b/>
          <w:color w:val="auto"/>
          <w:sz w:val="28"/>
          <w:highlight w:val="none"/>
        </w:rPr>
      </w:pPr>
    </w:p>
    <w:p w14:paraId="1B145691">
      <w:pPr>
        <w:pStyle w:val="16"/>
        <w:rPr>
          <w:rFonts w:hint="default" w:ascii="Times New Roman" w:hAnsi="Times New Roman" w:eastAsia="宋体" w:cs="Times New Roman"/>
          <w:b/>
          <w:color w:val="auto"/>
          <w:sz w:val="28"/>
          <w:highlight w:val="none"/>
        </w:rPr>
      </w:pPr>
    </w:p>
    <w:p w14:paraId="15E6001F">
      <w:pPr>
        <w:rPr>
          <w:rFonts w:hint="default"/>
        </w:rPr>
      </w:pPr>
    </w:p>
    <w:p w14:paraId="558320FD">
      <w:pPr>
        <w:spacing w:line="360" w:lineRule="auto"/>
        <w:jc w:val="both"/>
        <w:outlineLvl w:val="1"/>
        <w:rPr>
          <w:rFonts w:hint="default" w:ascii="Times New Roman" w:hAnsi="Times New Roman" w:eastAsia="宋体" w:cs="Times New Roman"/>
          <w:b/>
          <w:color w:val="auto"/>
          <w:sz w:val="28"/>
          <w:highlight w:val="none"/>
        </w:rPr>
      </w:pPr>
    </w:p>
    <w:p w14:paraId="374E99C7">
      <w:pPr>
        <w:spacing w:line="360" w:lineRule="auto"/>
        <w:jc w:val="center"/>
        <w:outlineLvl w:val="1"/>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第二章  投标人须知</w:t>
      </w:r>
    </w:p>
    <w:p w14:paraId="6A5CCB18">
      <w:pPr>
        <w:spacing w:line="360" w:lineRule="auto"/>
        <w:jc w:val="left"/>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一、投标人须知前附表</w:t>
      </w:r>
    </w:p>
    <w:p w14:paraId="357C838F">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b/>
          <w:bCs/>
          <w:color w:val="auto"/>
          <w:sz w:val="24"/>
          <w:szCs w:val="18"/>
          <w:highlight w:val="none"/>
        </w:rPr>
        <w:t>注：</w:t>
      </w:r>
      <w:r>
        <w:rPr>
          <w:rFonts w:hint="default" w:ascii="Times New Roman" w:hAnsi="Times New Roman" w:eastAsia="宋体" w:cs="Times New Roman"/>
          <w:color w:val="auto"/>
          <w:sz w:val="24"/>
          <w:szCs w:val="18"/>
          <w:highlight w:val="none"/>
        </w:rPr>
        <w:t>本表是本项目的具体要求，是对投标人须知的具体补充和修改，如有不一致，以本表为准。</w:t>
      </w:r>
    </w:p>
    <w:tbl>
      <w:tblPr>
        <w:tblStyle w:val="17"/>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6292"/>
      </w:tblGrid>
      <w:tr w14:paraId="0DFC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2157" w:type="dxa"/>
            <w:noWrap w:val="0"/>
            <w:vAlign w:val="center"/>
          </w:tcPr>
          <w:p w14:paraId="0F3CD689">
            <w:pPr>
              <w:pStyle w:val="21"/>
              <w:widowControl w:val="0"/>
              <w:spacing w:before="0" w:beforeAutospacing="0" w:after="0" w:afterAutospacing="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条款名称</w:t>
            </w:r>
          </w:p>
        </w:tc>
        <w:tc>
          <w:tcPr>
            <w:tcW w:w="6292" w:type="dxa"/>
            <w:noWrap w:val="0"/>
            <w:vAlign w:val="center"/>
          </w:tcPr>
          <w:p w14:paraId="14509698">
            <w:pPr>
              <w:pStyle w:val="21"/>
              <w:widowControl w:val="0"/>
              <w:spacing w:before="0" w:beforeAutospacing="0" w:after="0" w:afterAutospacing="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内容、说明与要求</w:t>
            </w:r>
          </w:p>
        </w:tc>
      </w:tr>
      <w:tr w14:paraId="05D4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55DCD3F0">
            <w:pPr>
              <w:pStyle w:val="21"/>
              <w:widowControl w:val="0"/>
              <w:spacing w:before="0" w:beforeAutospacing="0" w:after="0" w:afterAutospacing="0"/>
              <w:jc w:val="left"/>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招标人</w:t>
            </w:r>
          </w:p>
        </w:tc>
        <w:tc>
          <w:tcPr>
            <w:tcW w:w="6292" w:type="dxa"/>
            <w:noWrap w:val="0"/>
            <w:vAlign w:val="center"/>
          </w:tcPr>
          <w:p w14:paraId="48FF77D6">
            <w:pPr>
              <w:pStyle w:val="21"/>
              <w:widowControl w:val="0"/>
              <w:spacing w:before="0" w:beforeAutospacing="0" w:after="0" w:afterAutospacing="0"/>
              <w:jc w:val="both"/>
              <w:rPr>
                <w:rFonts w:hint="default" w:ascii="Times New Roman" w:hAnsi="Times New Roman" w:eastAsia="宋体" w:cs="Times New Roman"/>
                <w:b w:val="0"/>
                <w:bCs w:val="0"/>
                <w:color w:val="auto"/>
                <w:kern w:val="2"/>
                <w:sz w:val="24"/>
                <w:szCs w:val="20"/>
                <w:highlight w:val="none"/>
              </w:rPr>
            </w:pPr>
            <w:r>
              <w:rPr>
                <w:rFonts w:hint="default" w:ascii="Times New Roman" w:hAnsi="Times New Roman" w:eastAsia="宋体" w:cs="Times New Roman"/>
                <w:color w:val="auto"/>
                <w:sz w:val="24"/>
                <w:szCs w:val="24"/>
                <w:highlight w:val="none"/>
                <w:u w:val="single"/>
                <w:lang w:val="en-US" w:eastAsia="zh-CN"/>
              </w:rPr>
              <w:t>合肥包河文广产业投资有限公司</w:t>
            </w:r>
          </w:p>
        </w:tc>
      </w:tr>
      <w:tr w14:paraId="127E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0AACE7D0">
            <w:pPr>
              <w:pStyle w:val="21"/>
              <w:widowControl w:val="0"/>
              <w:spacing w:before="0" w:beforeAutospacing="0" w:after="0" w:afterAutospacing="0"/>
              <w:jc w:val="left"/>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采购监督管理部门</w:t>
            </w:r>
          </w:p>
        </w:tc>
        <w:tc>
          <w:tcPr>
            <w:tcW w:w="6292" w:type="dxa"/>
            <w:noWrap w:val="0"/>
            <w:vAlign w:val="center"/>
          </w:tcPr>
          <w:p w14:paraId="3AC1DA2A">
            <w:pPr>
              <w:pStyle w:val="21"/>
              <w:widowControl w:val="0"/>
              <w:spacing w:before="0" w:beforeAutospacing="0" w:after="0" w:afterAutospacing="0"/>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color w:val="auto"/>
                <w:sz w:val="24"/>
                <w:szCs w:val="24"/>
                <w:highlight w:val="none"/>
                <w:u w:val="single"/>
                <w:lang w:val="en-US" w:eastAsia="zh-CN"/>
              </w:rPr>
              <w:t>合肥包河文广产业投资有限公司</w:t>
            </w:r>
          </w:p>
        </w:tc>
      </w:tr>
      <w:tr w14:paraId="5047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7B15091C">
            <w:pPr>
              <w:pStyle w:val="21"/>
              <w:widowControl w:val="0"/>
              <w:spacing w:before="0" w:beforeAutospacing="0" w:after="0" w:afterAutospacing="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是否允许联合体投标</w:t>
            </w:r>
          </w:p>
        </w:tc>
        <w:tc>
          <w:tcPr>
            <w:tcW w:w="6292" w:type="dxa"/>
            <w:noWrap w:val="0"/>
            <w:vAlign w:val="center"/>
          </w:tcPr>
          <w:p w14:paraId="0350DEA2">
            <w:pPr>
              <w:pStyle w:val="21"/>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 xml:space="preserve">□是  </w:t>
            </w:r>
            <w:r>
              <w:rPr>
                <w:rFonts w:hint="default" w:ascii="Times New Roman" w:hAnsi="Times New Roman" w:eastAsia="宋体" w:cs="Times New Roman"/>
                <w:b w:val="0"/>
                <w:bCs w:val="0"/>
                <w:color w:val="auto"/>
                <w:highlight w:val="none"/>
              </w:rPr>
              <w:sym w:font="Wingdings 2" w:char="0052"/>
            </w:r>
            <w:r>
              <w:rPr>
                <w:rFonts w:hint="default" w:ascii="Times New Roman" w:hAnsi="Times New Roman" w:eastAsia="宋体" w:cs="Times New Roman"/>
                <w:b w:val="0"/>
                <w:color w:val="auto"/>
                <w:sz w:val="24"/>
                <w:highlight w:val="none"/>
              </w:rPr>
              <w:t>否</w:t>
            </w:r>
          </w:p>
        </w:tc>
      </w:tr>
      <w:tr w14:paraId="1AB6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jc w:val="center"/>
        </w:trPr>
        <w:tc>
          <w:tcPr>
            <w:tcW w:w="2157" w:type="dxa"/>
            <w:noWrap w:val="0"/>
            <w:vAlign w:val="center"/>
          </w:tcPr>
          <w:p w14:paraId="116C147B">
            <w:pPr>
              <w:pStyle w:val="21"/>
              <w:widowControl w:val="0"/>
              <w:spacing w:before="0" w:beforeAutospacing="0" w:after="0" w:afterAutospacing="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现场考察</w:t>
            </w:r>
          </w:p>
        </w:tc>
        <w:tc>
          <w:tcPr>
            <w:tcW w:w="6292" w:type="dxa"/>
            <w:noWrap w:val="0"/>
            <w:vAlign w:val="center"/>
          </w:tcPr>
          <w:p w14:paraId="1A949FC7">
            <w:pPr>
              <w:spacing w:line="500" w:lineRule="exact"/>
              <w:rPr>
                <w:rFonts w:hint="default" w:ascii="Times New Roman" w:hAnsi="Times New Roman" w:eastAsia="宋体" w:cs="Times New Roman"/>
                <w:bCs/>
                <w:color w:val="auto"/>
                <w:sz w:val="24"/>
                <w:highlight w:val="none"/>
              </w:rPr>
            </w:pPr>
            <w:r>
              <w:rPr>
                <w:rFonts w:hint="default" w:ascii="Times New Roman" w:hAnsi="Times New Roman" w:eastAsia="宋体" w:cs="Times New Roman"/>
                <w:b/>
                <w:bCs/>
                <w:color w:val="auto"/>
                <w:sz w:val="28"/>
                <w:highlight w:val="none"/>
              </w:rPr>
              <w:sym w:font="Wingdings 2" w:char="0052"/>
            </w:r>
            <w:r>
              <w:rPr>
                <w:rFonts w:hint="default" w:ascii="Times New Roman" w:hAnsi="Times New Roman" w:eastAsia="宋体" w:cs="Times New Roman"/>
                <w:color w:val="auto"/>
                <w:sz w:val="24"/>
                <w:highlight w:val="none"/>
              </w:rPr>
              <w:t>不组织，投标人</w:t>
            </w:r>
            <w:r>
              <w:rPr>
                <w:rFonts w:hint="default" w:ascii="Times New Roman" w:hAnsi="Times New Roman" w:eastAsia="宋体" w:cs="Times New Roman"/>
                <w:bCs/>
                <w:color w:val="auto"/>
                <w:sz w:val="24"/>
                <w:highlight w:val="none"/>
              </w:rPr>
              <w:t>自行考察</w:t>
            </w:r>
          </w:p>
          <w:p w14:paraId="53BAE293">
            <w:pPr>
              <w:spacing w:line="500" w:lineRule="exact"/>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bCs/>
                <w:color w:val="auto"/>
                <w:sz w:val="24"/>
                <w:highlight w:val="none"/>
              </w:rPr>
              <w:t>统一组织</w:t>
            </w:r>
          </w:p>
          <w:p w14:paraId="4005BCD5">
            <w:pPr>
              <w:spacing w:line="500" w:lineRule="exact"/>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时间：</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年</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月</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日</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时</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分</w:t>
            </w:r>
          </w:p>
          <w:p w14:paraId="5E9F6069">
            <w:pPr>
              <w:spacing w:line="500" w:lineRule="exact"/>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地点：</w:t>
            </w:r>
            <w:r>
              <w:rPr>
                <w:rFonts w:hint="default" w:ascii="Times New Roman" w:hAnsi="Times New Roman" w:eastAsia="宋体" w:cs="Times New Roman"/>
                <w:bCs/>
                <w:color w:val="auto"/>
                <w:sz w:val="24"/>
                <w:highlight w:val="none"/>
                <w:u w:val="single"/>
              </w:rPr>
              <w:t xml:space="preserve">                       </w:t>
            </w:r>
          </w:p>
          <w:p w14:paraId="15EDC306">
            <w:pPr>
              <w:spacing w:line="500" w:lineRule="exact"/>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现场考察联系人及联系电话：</w:t>
            </w:r>
            <w:r>
              <w:rPr>
                <w:rFonts w:hint="default" w:ascii="Times New Roman" w:hAnsi="Times New Roman" w:eastAsia="宋体" w:cs="Times New Roman"/>
                <w:bCs/>
                <w:color w:val="auto"/>
                <w:sz w:val="24"/>
                <w:highlight w:val="none"/>
                <w:u w:val="single"/>
              </w:rPr>
              <w:t xml:space="preserve">           </w:t>
            </w:r>
          </w:p>
          <w:p w14:paraId="60ECCFC2">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备注：如投标人未参加</w:t>
            </w:r>
            <w:r>
              <w:rPr>
                <w:rFonts w:hint="default" w:ascii="Times New Roman" w:hAnsi="Times New Roman" w:eastAsia="宋体" w:cs="Times New Roman"/>
                <w:bCs w:val="0"/>
                <w:color w:val="auto"/>
                <w:sz w:val="24"/>
                <w:highlight w:val="none"/>
                <w:lang w:eastAsia="zh-CN"/>
              </w:rPr>
              <w:t>招标人</w:t>
            </w:r>
            <w:r>
              <w:rPr>
                <w:rFonts w:hint="default" w:ascii="Times New Roman" w:hAnsi="Times New Roman" w:eastAsia="宋体" w:cs="Times New Roman"/>
                <w:bCs w:val="0"/>
                <w:color w:val="auto"/>
                <w:sz w:val="24"/>
                <w:highlight w:val="none"/>
              </w:rPr>
              <w:t>统一组织的现场考察，视同放弃现场考察，由此引起的一切责任由投标人自行承担。</w:t>
            </w:r>
          </w:p>
        </w:tc>
      </w:tr>
      <w:tr w14:paraId="4F3D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7AEC5C33">
            <w:pPr>
              <w:pStyle w:val="21"/>
              <w:widowControl w:val="0"/>
              <w:spacing w:before="0" w:beforeAutospacing="0" w:after="0" w:afterAutospacing="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包别划分</w:t>
            </w:r>
          </w:p>
        </w:tc>
        <w:tc>
          <w:tcPr>
            <w:tcW w:w="6292" w:type="dxa"/>
            <w:noWrap w:val="0"/>
            <w:vAlign w:val="center"/>
          </w:tcPr>
          <w:p w14:paraId="77BC4ED2">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highlight w:val="none"/>
              </w:rPr>
              <w:sym w:font="Wingdings 2" w:char="F052"/>
            </w:r>
            <w:r>
              <w:rPr>
                <w:rFonts w:hint="default" w:ascii="Times New Roman" w:hAnsi="Times New Roman" w:eastAsia="宋体" w:cs="Times New Roman"/>
                <w:b w:val="0"/>
                <w:color w:val="auto"/>
                <w:sz w:val="24"/>
                <w:highlight w:val="none"/>
              </w:rPr>
              <w:t>不分包     □分为  个包</w:t>
            </w:r>
          </w:p>
          <w:p w14:paraId="2CFBA60B">
            <w:pPr>
              <w:pStyle w:val="21"/>
              <w:widowControl w:val="0"/>
              <w:spacing w:before="0" w:beforeAutospacing="0" w:after="0" w:afterAutospacing="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投标人对多个包进行投标的中标包数规定：</w:t>
            </w:r>
            <w:r>
              <w:rPr>
                <w:rFonts w:hint="default" w:ascii="Times New Roman" w:hAnsi="Times New Roman" w:eastAsia="宋体" w:cs="Times New Roman"/>
                <w:b w:val="0"/>
                <w:bCs w:val="0"/>
                <w:color w:val="auto"/>
                <w:sz w:val="24"/>
                <w:szCs w:val="18"/>
                <w:highlight w:val="none"/>
                <w:u w:val="single"/>
              </w:rPr>
              <w:t xml:space="preserve">        </w:t>
            </w:r>
          </w:p>
        </w:tc>
      </w:tr>
      <w:tr w14:paraId="1487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57" w:type="dxa"/>
            <w:noWrap w:val="0"/>
            <w:vAlign w:val="center"/>
          </w:tcPr>
          <w:p w14:paraId="3362CA64">
            <w:pPr>
              <w:pStyle w:val="21"/>
              <w:widowControl w:val="0"/>
              <w:spacing w:before="0" w:beforeAutospacing="0" w:after="0" w:afterAutospacing="0" w:line="360" w:lineRule="auto"/>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投标保证金</w:t>
            </w:r>
          </w:p>
        </w:tc>
        <w:tc>
          <w:tcPr>
            <w:tcW w:w="6292" w:type="dxa"/>
            <w:noWrap w:val="0"/>
            <w:vAlign w:val="center"/>
          </w:tcPr>
          <w:p w14:paraId="1BD81A19">
            <w:pPr>
              <w:spacing w:line="360" w:lineRule="auto"/>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免收</w:t>
            </w:r>
          </w:p>
        </w:tc>
      </w:tr>
      <w:tr w14:paraId="39B8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6A017EF8">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投标有效期</w:t>
            </w:r>
          </w:p>
        </w:tc>
        <w:tc>
          <w:tcPr>
            <w:tcW w:w="6292" w:type="dxa"/>
            <w:noWrap w:val="0"/>
            <w:vAlign w:val="center"/>
          </w:tcPr>
          <w:p w14:paraId="1DFE5C26">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eastAsia" w:ascii="Times New Roman" w:hAnsi="Times New Roman" w:eastAsia="宋体" w:cs="Times New Roman"/>
                <w:b w:val="0"/>
                <w:color w:val="auto"/>
                <w:sz w:val="24"/>
                <w:highlight w:val="none"/>
                <w:u w:val="single"/>
                <w:lang w:val="en-US" w:eastAsia="zh-CN"/>
              </w:rPr>
              <w:t>120</w:t>
            </w:r>
            <w:r>
              <w:rPr>
                <w:rFonts w:hint="default" w:ascii="Times New Roman" w:hAnsi="Times New Roman" w:eastAsia="宋体" w:cs="Times New Roman"/>
                <w:b w:val="0"/>
                <w:color w:val="auto"/>
                <w:sz w:val="24"/>
                <w:highlight w:val="none"/>
              </w:rPr>
              <w:t>日历日</w:t>
            </w:r>
          </w:p>
        </w:tc>
      </w:tr>
      <w:tr w14:paraId="4A61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23C70344">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投标文件要求</w:t>
            </w:r>
          </w:p>
        </w:tc>
        <w:tc>
          <w:tcPr>
            <w:tcW w:w="6292" w:type="dxa"/>
            <w:noWrap w:val="0"/>
            <w:vAlign w:val="center"/>
          </w:tcPr>
          <w:p w14:paraId="78137ED7">
            <w:pPr>
              <w:pStyle w:val="21"/>
              <w:widowControl w:val="0"/>
              <w:spacing w:before="0" w:beforeAutospacing="0" w:after="0" w:afterAutospacing="0" w:line="360" w:lineRule="auto"/>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纸质版投标文件（建议</w:t>
            </w:r>
            <w:r>
              <w:rPr>
                <w:rFonts w:hint="eastAsia" w:ascii="Times New Roman" w:hAnsi="Times New Roman" w:eastAsia="宋体" w:cs="Times New Roman"/>
                <w:bCs w:val="0"/>
                <w:color w:val="auto"/>
                <w:sz w:val="24"/>
                <w:highlight w:val="none"/>
                <w:lang w:val="en-US" w:eastAsia="zh-CN"/>
              </w:rPr>
              <w:t>双面打印</w:t>
            </w:r>
            <w:r>
              <w:rPr>
                <w:rFonts w:hint="default" w:ascii="Times New Roman" w:hAnsi="Times New Roman" w:eastAsia="宋体" w:cs="Times New Roman"/>
                <w:bCs w:val="0"/>
                <w:color w:val="auto"/>
                <w:sz w:val="24"/>
                <w:highlight w:val="none"/>
              </w:rPr>
              <w:t>胶装成册）：</w:t>
            </w:r>
          </w:p>
          <w:p w14:paraId="6546C478">
            <w:pPr>
              <w:pStyle w:val="21"/>
              <w:widowControl w:val="0"/>
              <w:spacing w:before="0" w:beforeAutospacing="0" w:after="0" w:afterAutospacing="0" w:line="360" w:lineRule="auto"/>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正本</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份；副本</w:t>
            </w:r>
            <w:r>
              <w:rPr>
                <w:rFonts w:hint="default" w:ascii="Times New Roman" w:hAnsi="Times New Roman" w:eastAsia="宋体" w:cs="Times New Roman"/>
                <w:bCs w:val="0"/>
                <w:color w:val="auto"/>
                <w:sz w:val="24"/>
                <w:highlight w:val="none"/>
                <w:lang w:val="en-US" w:eastAsia="zh-CN"/>
              </w:rPr>
              <w:t>2</w:t>
            </w:r>
            <w:r>
              <w:rPr>
                <w:rFonts w:hint="default" w:ascii="Times New Roman" w:hAnsi="Times New Roman" w:eastAsia="宋体" w:cs="Times New Roman"/>
                <w:bCs w:val="0"/>
                <w:color w:val="auto"/>
                <w:sz w:val="24"/>
                <w:highlight w:val="none"/>
              </w:rPr>
              <w:t>份。</w:t>
            </w:r>
          </w:p>
          <w:p w14:paraId="081AA851">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以上文件均密封提交。</w:t>
            </w:r>
          </w:p>
        </w:tc>
      </w:tr>
      <w:tr w14:paraId="78F5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157" w:type="dxa"/>
            <w:noWrap w:val="0"/>
            <w:vAlign w:val="center"/>
          </w:tcPr>
          <w:p w14:paraId="4AAACBDF">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开标现场提交的其他材料要求</w:t>
            </w:r>
          </w:p>
        </w:tc>
        <w:tc>
          <w:tcPr>
            <w:tcW w:w="6292" w:type="dxa"/>
            <w:noWrap w:val="0"/>
            <w:vAlign w:val="center"/>
          </w:tcPr>
          <w:p w14:paraId="0E183F28">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18"/>
                <w:highlight w:val="none"/>
                <w:u w:val="single"/>
              </w:rPr>
              <w:t xml:space="preserve">        /      </w:t>
            </w:r>
          </w:p>
        </w:tc>
      </w:tr>
      <w:tr w14:paraId="3781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15C5C557">
            <w:pPr>
              <w:pStyle w:val="21"/>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投标截止时间及地点</w:t>
            </w:r>
          </w:p>
        </w:tc>
        <w:tc>
          <w:tcPr>
            <w:tcW w:w="6292" w:type="dxa"/>
            <w:noWrap w:val="0"/>
            <w:vAlign w:val="center"/>
          </w:tcPr>
          <w:p w14:paraId="5562A33B">
            <w:pPr>
              <w:pStyle w:val="21"/>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w:t>
            </w:r>
            <w:r>
              <w:rPr>
                <w:rFonts w:hint="default" w:ascii="Times New Roman" w:hAnsi="Times New Roman" w:eastAsia="宋体" w:cs="Times New Roman"/>
                <w:b w:val="0"/>
                <w:color w:val="auto"/>
                <w:sz w:val="24"/>
                <w:highlight w:val="none"/>
                <w:u w:val="single"/>
              </w:rPr>
              <w:t>详见投标邀请</w:t>
            </w:r>
          </w:p>
          <w:p w14:paraId="28BFD203">
            <w:pPr>
              <w:pStyle w:val="21"/>
              <w:widowControl w:val="0"/>
              <w:spacing w:before="0" w:beforeAutospacing="0" w:after="0" w:afterAutospacing="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投标文件递交地点：</w:t>
            </w:r>
            <w:r>
              <w:rPr>
                <w:rFonts w:hint="default" w:ascii="Times New Roman" w:hAnsi="Times New Roman" w:eastAsia="宋体" w:cs="Times New Roman"/>
                <w:b w:val="0"/>
                <w:color w:val="auto"/>
                <w:sz w:val="24"/>
                <w:highlight w:val="none"/>
                <w:u w:val="single"/>
              </w:rPr>
              <w:t>同开标地点</w:t>
            </w:r>
          </w:p>
          <w:p w14:paraId="65D60789">
            <w:pPr>
              <w:pStyle w:val="21"/>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投标文件接收时间：</w:t>
            </w:r>
            <w:r>
              <w:rPr>
                <w:rFonts w:hint="default" w:ascii="Times New Roman" w:hAnsi="Times New Roman" w:eastAsia="宋体" w:cs="Times New Roman"/>
                <w:b w:val="0"/>
                <w:color w:val="auto"/>
                <w:sz w:val="24"/>
                <w:highlight w:val="none"/>
                <w:u w:val="single"/>
              </w:rPr>
              <w:t>自投标截止时间前60分钟至投标截止时间止。</w:t>
            </w:r>
          </w:p>
        </w:tc>
      </w:tr>
      <w:tr w14:paraId="21E8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4FDF2900">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开标时间</w:t>
            </w:r>
          </w:p>
        </w:tc>
        <w:tc>
          <w:tcPr>
            <w:tcW w:w="6292" w:type="dxa"/>
            <w:noWrap w:val="0"/>
            <w:vAlign w:val="center"/>
          </w:tcPr>
          <w:p w14:paraId="33269749">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u w:val="single"/>
              </w:rPr>
              <w:t>详见投标邀请</w:t>
            </w:r>
          </w:p>
        </w:tc>
      </w:tr>
      <w:tr w14:paraId="2499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3A8F3B4B">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开标地点</w:t>
            </w:r>
          </w:p>
        </w:tc>
        <w:tc>
          <w:tcPr>
            <w:tcW w:w="6292" w:type="dxa"/>
            <w:noWrap w:val="0"/>
            <w:vAlign w:val="center"/>
          </w:tcPr>
          <w:p w14:paraId="3231A59C">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u w:val="single"/>
              </w:rPr>
              <w:t>详见投标邀请</w:t>
            </w:r>
          </w:p>
        </w:tc>
      </w:tr>
      <w:tr w14:paraId="2D74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12508378">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资格审查</w:t>
            </w:r>
          </w:p>
        </w:tc>
        <w:tc>
          <w:tcPr>
            <w:tcW w:w="6292" w:type="dxa"/>
            <w:noWrap w:val="0"/>
            <w:vAlign w:val="center"/>
          </w:tcPr>
          <w:p w14:paraId="45729F42">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rPr>
              <w:t>评标委员会</w:t>
            </w:r>
            <w:r>
              <w:rPr>
                <w:rFonts w:hint="default" w:ascii="Times New Roman" w:hAnsi="Times New Roman" w:eastAsia="宋体" w:cs="Times New Roman"/>
                <w:b w:val="0"/>
                <w:bCs w:val="0"/>
                <w:color w:val="auto"/>
                <w:sz w:val="24"/>
                <w:highlight w:val="none"/>
              </w:rPr>
              <w:t>进行审查。</w:t>
            </w:r>
          </w:p>
        </w:tc>
      </w:tr>
      <w:tr w14:paraId="6902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5D0E9568">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val="0"/>
                <w:color w:val="auto"/>
                <w:sz w:val="24"/>
                <w:highlight w:val="none"/>
                <w:lang w:val="en-US" w:eastAsia="zh-CN"/>
              </w:rPr>
              <w:t>报价方式</w:t>
            </w:r>
          </w:p>
        </w:tc>
        <w:tc>
          <w:tcPr>
            <w:tcW w:w="6292" w:type="dxa"/>
            <w:noWrap w:val="0"/>
            <w:vAlign w:val="center"/>
          </w:tcPr>
          <w:p w14:paraId="54B51A07">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总价报价，详见投标文件格式要求。</w:t>
            </w:r>
          </w:p>
        </w:tc>
      </w:tr>
      <w:tr w14:paraId="64C3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53B45822">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评标方法</w:t>
            </w:r>
          </w:p>
        </w:tc>
        <w:tc>
          <w:tcPr>
            <w:tcW w:w="6292" w:type="dxa"/>
            <w:noWrap w:val="0"/>
            <w:vAlign w:val="center"/>
          </w:tcPr>
          <w:p w14:paraId="0E26EAC2">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rPr>
              <w:sym w:font="Wingdings 2" w:char="0052"/>
            </w:r>
            <w:r>
              <w:rPr>
                <w:rFonts w:hint="default" w:ascii="Times New Roman" w:hAnsi="Times New Roman" w:eastAsia="宋体" w:cs="Times New Roman"/>
                <w:b w:val="0"/>
                <w:color w:val="auto"/>
                <w:sz w:val="24"/>
                <w:highlight w:val="none"/>
                <w:u w:val="single"/>
              </w:rPr>
              <w:t>最低评标价法</w:t>
            </w:r>
          </w:p>
          <w:p w14:paraId="54CB957C">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sz w:val="24"/>
                <w:szCs w:val="24"/>
                <w:highlight w:val="none"/>
              </w:rPr>
              <w:sym w:font="Wingdings 2" w:char="00A3"/>
            </w:r>
            <w:r>
              <w:rPr>
                <w:rFonts w:hint="default" w:ascii="Times New Roman" w:hAnsi="Times New Roman" w:eastAsia="宋体" w:cs="Times New Roman"/>
                <w:b w:val="0"/>
                <w:color w:val="auto"/>
                <w:sz w:val="24"/>
                <w:highlight w:val="none"/>
                <w:u w:val="single"/>
              </w:rPr>
              <w:t>综合评分法</w:t>
            </w:r>
          </w:p>
        </w:tc>
      </w:tr>
      <w:tr w14:paraId="5AD8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157" w:type="dxa"/>
            <w:noWrap w:val="0"/>
            <w:vAlign w:val="center"/>
          </w:tcPr>
          <w:p w14:paraId="4C6C8DB9">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评标委员会推荐中标候选人的数量</w:t>
            </w:r>
          </w:p>
        </w:tc>
        <w:tc>
          <w:tcPr>
            <w:tcW w:w="6292" w:type="dxa"/>
            <w:noWrap w:val="0"/>
            <w:vAlign w:val="center"/>
          </w:tcPr>
          <w:p w14:paraId="510045B8">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eastAsia" w:ascii="Times New Roman" w:hAnsi="Times New Roman" w:eastAsia="宋体" w:cs="Times New Roman"/>
                <w:b w:val="0"/>
                <w:color w:val="auto"/>
                <w:sz w:val="24"/>
                <w:highlight w:val="none"/>
                <w:u w:val="single"/>
                <w:lang w:val="en-US" w:eastAsia="zh-CN"/>
              </w:rPr>
              <w:t>第一中标候选人</w:t>
            </w:r>
            <w:r>
              <w:rPr>
                <w:rFonts w:hint="default" w:ascii="Times New Roman" w:hAnsi="Times New Roman" w:eastAsia="宋体" w:cs="Times New Roman"/>
                <w:b w:val="0"/>
                <w:color w:val="auto"/>
                <w:sz w:val="24"/>
                <w:highlight w:val="none"/>
                <w:u w:val="single"/>
                <w:lang w:val="en-US" w:eastAsia="zh-CN"/>
              </w:rPr>
              <w:t>1</w:t>
            </w:r>
            <w:r>
              <w:rPr>
                <w:rFonts w:hint="default" w:ascii="Times New Roman" w:hAnsi="Times New Roman" w:eastAsia="宋体" w:cs="Times New Roman"/>
                <w:b w:val="0"/>
                <w:color w:val="auto"/>
                <w:sz w:val="24"/>
                <w:highlight w:val="none"/>
                <w:u w:val="single"/>
              </w:rPr>
              <w:t>家</w:t>
            </w:r>
          </w:p>
        </w:tc>
      </w:tr>
      <w:tr w14:paraId="0F66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568CBE43">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确定中标人</w:t>
            </w:r>
          </w:p>
        </w:tc>
        <w:tc>
          <w:tcPr>
            <w:tcW w:w="6292" w:type="dxa"/>
            <w:noWrap w:val="0"/>
            <w:vAlign w:val="center"/>
          </w:tcPr>
          <w:p w14:paraId="05598EF4">
            <w:pPr>
              <w:pStyle w:val="21"/>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highlight w:val="none"/>
              </w:rPr>
              <w:sym w:font="Wingdings 2" w:char="F052"/>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委托评标委员会确定</w:t>
            </w:r>
          </w:p>
          <w:p w14:paraId="631212FD">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确定</w:t>
            </w:r>
          </w:p>
        </w:tc>
      </w:tr>
      <w:tr w14:paraId="3BBD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0ACD0671">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随中标结果公告同时公告的中标人的投标文件内容</w:t>
            </w:r>
          </w:p>
        </w:tc>
        <w:tc>
          <w:tcPr>
            <w:tcW w:w="6292" w:type="dxa"/>
            <w:noWrap w:val="0"/>
            <w:vAlign w:val="center"/>
          </w:tcPr>
          <w:p w14:paraId="0AA1D88F">
            <w:pPr>
              <w:pStyle w:val="21"/>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tc>
      </w:tr>
      <w:tr w14:paraId="17EA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174A8689">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告知招标结果的形式</w:t>
            </w:r>
          </w:p>
        </w:tc>
        <w:tc>
          <w:tcPr>
            <w:tcW w:w="6292" w:type="dxa"/>
            <w:noWrap w:val="0"/>
            <w:vAlign w:val="center"/>
          </w:tcPr>
          <w:p w14:paraId="73A6380C">
            <w:pPr>
              <w:pStyle w:val="21"/>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color w:val="auto"/>
                <w:sz w:val="24"/>
                <w:highlight w:val="none"/>
              </w:rPr>
              <w:t>评标现场告知或</w:t>
            </w:r>
            <w:r>
              <w:rPr>
                <w:rFonts w:hint="default" w:ascii="Times New Roman" w:hAnsi="Times New Roman" w:eastAsia="宋体" w:cs="Times New Roman"/>
                <w:b w:val="0"/>
                <w:bCs w:val="0"/>
                <w:color w:val="auto"/>
                <w:sz w:val="24"/>
                <w:szCs w:val="24"/>
                <w:highlight w:val="none"/>
              </w:rPr>
              <w:t>投标人自行上网查看（公告或邮件）</w:t>
            </w:r>
          </w:p>
        </w:tc>
      </w:tr>
      <w:tr w14:paraId="68A6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157" w:type="dxa"/>
            <w:noWrap w:val="0"/>
            <w:vAlign w:val="center"/>
          </w:tcPr>
          <w:p w14:paraId="2014FA8F">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履约保证金</w:t>
            </w:r>
          </w:p>
        </w:tc>
        <w:tc>
          <w:tcPr>
            <w:tcW w:w="6292" w:type="dxa"/>
            <w:noWrap w:val="0"/>
            <w:vAlign w:val="center"/>
          </w:tcPr>
          <w:p w14:paraId="2D950155">
            <w:pPr>
              <w:pStyle w:val="22"/>
              <w:numPr>
                <w:ilvl w:val="0"/>
                <w:numId w:val="0"/>
              </w:numPr>
              <w:tabs>
                <w:tab w:val="left" w:pos="351"/>
              </w:tabs>
              <w:spacing w:before="131" w:after="0" w:line="343" w:lineRule="auto"/>
              <w:ind w:left="109" w:leftChars="0" w:right="97" w:rightChars="0"/>
              <w:jc w:val="left"/>
              <w:rPr>
                <w:rFonts w:hint="default" w:ascii="Times New Roman" w:hAnsi="Times New Roman" w:eastAsia="宋体" w:cs="Times New Roman"/>
                <w:b w:val="0"/>
                <w:color w:val="auto"/>
                <w:sz w:val="24"/>
                <w:highlight w:val="none"/>
                <w:lang w:val="en-US" w:eastAsia="zh-CN"/>
              </w:rPr>
            </w:pPr>
            <w:r>
              <w:rPr>
                <w:rFonts w:hint="default" w:ascii="Times New Roman" w:hAnsi="Times New Roman" w:cs="Times New Roman"/>
                <w:b w:val="0"/>
                <w:color w:val="auto"/>
                <w:sz w:val="24"/>
                <w:highlight w:val="none"/>
                <w:lang w:val="en-US" w:eastAsia="zh-CN"/>
              </w:rPr>
              <w:t>免收</w:t>
            </w:r>
          </w:p>
        </w:tc>
      </w:tr>
      <w:tr w14:paraId="5451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3F9BFBB1">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中标服务费</w:t>
            </w:r>
          </w:p>
        </w:tc>
        <w:tc>
          <w:tcPr>
            <w:tcW w:w="6292" w:type="dxa"/>
            <w:noWrap w:val="0"/>
            <w:vAlign w:val="center"/>
          </w:tcPr>
          <w:p w14:paraId="5E31EE12">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（1）金额：</w:t>
            </w:r>
          </w:p>
          <w:p w14:paraId="1EF8DC02">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sym w:font="Wingdings 2" w:char="0052"/>
            </w:r>
            <w:r>
              <w:rPr>
                <w:rFonts w:hint="default" w:ascii="Times New Roman" w:hAnsi="Times New Roman" w:eastAsia="宋体" w:cs="Times New Roman"/>
                <w:b w:val="0"/>
                <w:color w:val="auto"/>
                <w:sz w:val="24"/>
                <w:highlight w:val="none"/>
              </w:rPr>
              <w:t>免收</w:t>
            </w:r>
          </w:p>
        </w:tc>
      </w:tr>
      <w:tr w14:paraId="2DD6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2157" w:type="dxa"/>
            <w:noWrap w:val="0"/>
            <w:vAlign w:val="center"/>
          </w:tcPr>
          <w:p w14:paraId="57E4B143">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质疑函递交方式、接收部门、联系电话和通讯地址</w:t>
            </w:r>
          </w:p>
        </w:tc>
        <w:tc>
          <w:tcPr>
            <w:tcW w:w="6292" w:type="dxa"/>
            <w:noWrap w:val="0"/>
            <w:vAlign w:val="center"/>
          </w:tcPr>
          <w:p w14:paraId="3445EEFC">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递交方式：</w:t>
            </w:r>
            <w:r>
              <w:rPr>
                <w:rFonts w:hint="default" w:ascii="Times New Roman" w:hAnsi="Times New Roman" w:eastAsia="宋体" w:cs="Times New Roman"/>
                <w:b w:val="0"/>
                <w:color w:val="auto"/>
                <w:sz w:val="24"/>
                <w:highlight w:val="none"/>
                <w:u w:val="single"/>
              </w:rPr>
              <w:t>书面形式</w:t>
            </w:r>
          </w:p>
          <w:p w14:paraId="446674CA">
            <w:pPr>
              <w:pStyle w:val="21"/>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color w:val="auto"/>
                <w:sz w:val="24"/>
                <w:highlight w:val="none"/>
              </w:rPr>
              <w:t>接收部门：</w:t>
            </w:r>
            <w:r>
              <w:rPr>
                <w:rFonts w:hint="default" w:ascii="Times New Roman" w:hAnsi="Times New Roman" w:eastAsia="宋体" w:cs="Times New Roman"/>
                <w:b w:val="0"/>
                <w:bCs w:val="0"/>
                <w:color w:val="auto"/>
                <w:sz w:val="24"/>
                <w:szCs w:val="18"/>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合肥包河文广产业投资有限公司</w:t>
            </w:r>
            <w:r>
              <w:rPr>
                <w:rFonts w:hint="eastAsia" w:ascii="Times New Roman" w:hAnsi="Times New Roman" w:eastAsia="宋体" w:cs="Times New Roman"/>
                <w:b w:val="0"/>
                <w:color w:val="auto"/>
                <w:sz w:val="24"/>
                <w:highlight w:val="none"/>
                <w:u w:val="single"/>
                <w:lang w:val="en-US" w:eastAsia="zh-CN"/>
              </w:rPr>
              <w:t xml:space="preserve">   </w:t>
            </w:r>
            <w:r>
              <w:rPr>
                <w:rFonts w:hint="default" w:ascii="Times New Roman" w:hAnsi="Times New Roman" w:eastAsia="宋体" w:cs="Times New Roman"/>
                <w:b w:val="0"/>
                <w:bCs w:val="0"/>
                <w:color w:val="auto"/>
                <w:sz w:val="24"/>
                <w:szCs w:val="18"/>
                <w:highlight w:val="none"/>
                <w:u w:val="single"/>
              </w:rPr>
              <w:t xml:space="preserve"> </w:t>
            </w:r>
          </w:p>
          <w:p w14:paraId="62274D10">
            <w:pPr>
              <w:pStyle w:val="21"/>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color w:val="auto"/>
                <w:sz w:val="24"/>
                <w:highlight w:val="none"/>
              </w:rPr>
              <w:t>联系电话：</w:t>
            </w:r>
            <w:r>
              <w:rPr>
                <w:rFonts w:hint="default" w:ascii="Times New Roman" w:hAnsi="Times New Roman" w:eastAsia="宋体" w:cs="Times New Roman"/>
                <w:b w:val="0"/>
                <w:bCs w:val="0"/>
                <w:color w:val="auto"/>
                <w:sz w:val="24"/>
                <w:szCs w:val="18"/>
                <w:highlight w:val="none"/>
                <w:u w:val="single"/>
              </w:rPr>
              <w:t xml:space="preserve"> </w:t>
            </w:r>
            <w:r>
              <w:rPr>
                <w:rFonts w:hint="eastAsia" w:ascii="Times New Roman" w:hAnsi="Times New Roman" w:eastAsia="宋体" w:cs="Times New Roman"/>
                <w:b w:val="0"/>
                <w:bCs w:val="0"/>
                <w:color w:val="auto"/>
                <w:sz w:val="24"/>
                <w:szCs w:val="18"/>
                <w:highlight w:val="none"/>
                <w:u w:val="single"/>
                <w:lang w:val="en-US" w:eastAsia="zh-CN"/>
              </w:rPr>
              <w:t>0551-63351286</w:t>
            </w:r>
            <w:r>
              <w:rPr>
                <w:rFonts w:hint="default" w:ascii="Times New Roman" w:hAnsi="Times New Roman" w:eastAsia="宋体" w:cs="Times New Roman"/>
                <w:b w:val="0"/>
                <w:bCs w:val="0"/>
                <w:color w:val="auto"/>
                <w:sz w:val="24"/>
                <w:szCs w:val="18"/>
                <w:highlight w:val="none"/>
                <w:u w:val="single"/>
              </w:rPr>
              <w:t xml:space="preserve"> </w:t>
            </w:r>
          </w:p>
          <w:p w14:paraId="327C9BC0">
            <w:pPr>
              <w:pStyle w:val="21"/>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color w:val="auto"/>
                <w:sz w:val="24"/>
                <w:highlight w:val="none"/>
              </w:rPr>
              <w:t>电子邮箱：</w:t>
            </w:r>
            <w:r>
              <w:rPr>
                <w:rFonts w:hint="default" w:ascii="Times New Roman" w:hAnsi="Times New Roman" w:eastAsia="宋体" w:cs="Times New Roman"/>
                <w:b w:val="0"/>
                <w:bCs w:val="0"/>
                <w:color w:val="auto"/>
                <w:sz w:val="24"/>
                <w:szCs w:val="18"/>
                <w:highlight w:val="none"/>
                <w:u w:val="single"/>
              </w:rPr>
              <w:tab/>
            </w:r>
            <w:r>
              <w:rPr>
                <w:rFonts w:hint="default" w:ascii="Times New Roman" w:hAnsi="Times New Roman" w:eastAsia="宋体" w:cs="Times New Roman"/>
                <w:b w:val="0"/>
                <w:bCs w:val="0"/>
                <w:color w:val="auto"/>
                <w:sz w:val="24"/>
                <w:szCs w:val="18"/>
                <w:highlight w:val="none"/>
                <w:u w:val="single"/>
              </w:rPr>
              <w:t xml:space="preserve">                          </w:t>
            </w:r>
          </w:p>
          <w:p w14:paraId="41CF128A">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通讯地址：</w:t>
            </w:r>
            <w:r>
              <w:rPr>
                <w:rFonts w:hint="default" w:ascii="Times New Roman" w:hAnsi="Times New Roman" w:eastAsia="宋体" w:cs="Times New Roman"/>
                <w:b w:val="0"/>
                <w:bCs w:val="0"/>
                <w:color w:val="auto"/>
                <w:sz w:val="24"/>
                <w:szCs w:val="18"/>
                <w:highlight w:val="none"/>
                <w:u w:val="single"/>
              </w:rPr>
              <w:t xml:space="preserve"> </w:t>
            </w:r>
            <w:r>
              <w:rPr>
                <w:rFonts w:hint="eastAsia" w:ascii="Times New Roman" w:hAnsi="Times New Roman" w:eastAsia="宋体" w:cs="Times New Roman"/>
                <w:b w:val="0"/>
                <w:bCs w:val="0"/>
                <w:color w:val="auto"/>
                <w:sz w:val="24"/>
                <w:szCs w:val="18"/>
                <w:highlight w:val="none"/>
                <w:u w:val="single"/>
                <w:lang w:val="en-US" w:eastAsia="zh-CN"/>
              </w:rPr>
              <w:t xml:space="preserve">合肥市包河区花园大道365号，滨湖卓越城文华园A2栋4楼   </w:t>
            </w:r>
            <w:r>
              <w:rPr>
                <w:rFonts w:hint="default" w:ascii="Times New Roman" w:hAnsi="Times New Roman" w:eastAsia="宋体" w:cs="Times New Roman"/>
                <w:b w:val="0"/>
                <w:bCs w:val="0"/>
                <w:color w:val="auto"/>
                <w:sz w:val="24"/>
                <w:szCs w:val="18"/>
                <w:highlight w:val="none"/>
                <w:u w:val="single"/>
              </w:rPr>
              <w:t xml:space="preserve"> </w:t>
            </w:r>
          </w:p>
        </w:tc>
      </w:tr>
      <w:tr w14:paraId="0D7C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41A88272">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其他内容</w:t>
            </w:r>
          </w:p>
        </w:tc>
        <w:tc>
          <w:tcPr>
            <w:tcW w:w="6292" w:type="dxa"/>
            <w:noWrap w:val="0"/>
            <w:vAlign w:val="center"/>
          </w:tcPr>
          <w:p w14:paraId="62504E04">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p>
        </w:tc>
      </w:tr>
      <w:tr w14:paraId="4F30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6EA72408">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关于联合体投标的相关约定</w:t>
            </w:r>
          </w:p>
        </w:tc>
        <w:tc>
          <w:tcPr>
            <w:tcW w:w="6292" w:type="dxa"/>
            <w:noWrap w:val="0"/>
            <w:vAlign w:val="center"/>
          </w:tcPr>
          <w:p w14:paraId="6A1572F4">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（1）联合体投标的，招标文件获取手续由联合体中任一成员单位办理均可。</w:t>
            </w:r>
          </w:p>
          <w:p w14:paraId="0302B80D">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（2）联合体投标的须提供联合协议（见投标文件格式），相关证明材料由投标人根据联合协议分工情况及招标文件要求提供。</w:t>
            </w:r>
          </w:p>
          <w:p w14:paraId="30BED85F">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（3）联合体各成员单位均须提供营业执照（或事业单位法人登记证书）和无重大违法记录声明函、无不良信用记录声明函。</w:t>
            </w:r>
          </w:p>
          <w:p w14:paraId="666FB197">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（4）关于联合体缴纳投标保证金（如有）：为简化评标现场投标保证金查询、后期投标保证金退还及合同备案清算手续，投标保证金建议由联合体牵头人足额缴纳至本项目投标保证金账号。</w:t>
            </w:r>
          </w:p>
        </w:tc>
      </w:tr>
      <w:tr w14:paraId="2C40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36D21619">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社保证明材料</w:t>
            </w:r>
          </w:p>
        </w:tc>
        <w:tc>
          <w:tcPr>
            <w:tcW w:w="6292" w:type="dxa"/>
            <w:noWrap w:val="0"/>
            <w:vAlign w:val="center"/>
          </w:tcPr>
          <w:p w14:paraId="54625285">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本项目招标文件中要求提供的社保证明材料为下述形式之一（投标文件中须提供影印件或复印件）：</w:t>
            </w:r>
          </w:p>
          <w:p w14:paraId="6CA06867">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（1）社保局官方网站查询的缴费记录截图；</w:t>
            </w:r>
          </w:p>
          <w:p w14:paraId="2BE5614D">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（2）社保局的书面证明材料；</w:t>
            </w:r>
          </w:p>
          <w:p w14:paraId="531E371A">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（3）经投标人委托的第三方人力资源服务机构或与投标人有直接隶属关系的机构可以代缴社保，但须提供有关证明材料并经评标委员会确认。</w:t>
            </w:r>
          </w:p>
          <w:p w14:paraId="4234BA46">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4</w:t>
            </w:r>
            <w:r>
              <w:rPr>
                <w:rFonts w:hint="default" w:ascii="Times New Roman" w:hAnsi="Times New Roman" w:eastAsia="宋体" w:cs="Times New Roman"/>
                <w:b w:val="0"/>
                <w:color w:val="auto"/>
                <w:sz w:val="24"/>
                <w:highlight w:val="none"/>
              </w:rPr>
              <w:t>）其他经评标委员会认可的证明材料。</w:t>
            </w:r>
          </w:p>
          <w:p w14:paraId="7BBD2685">
            <w:pPr>
              <w:pStyle w:val="21"/>
              <w:widowControl w:val="0"/>
              <w:spacing w:before="0" w:beforeAutospacing="0" w:after="0" w:afterAutospacing="0" w:line="360" w:lineRule="auto"/>
              <w:jc w:val="both"/>
              <w:rPr>
                <w:rFonts w:hint="default" w:ascii="Times New Roman" w:hAnsi="Times New Roman" w:eastAsia="宋体" w:cs="Times New Roman"/>
                <w:b w:val="0"/>
                <w:iCs/>
                <w:color w:val="auto"/>
                <w:sz w:val="24"/>
                <w:highlight w:val="none"/>
              </w:rPr>
            </w:pPr>
            <w:r>
              <w:rPr>
                <w:rFonts w:hint="default" w:ascii="Times New Roman" w:hAnsi="Times New Roman" w:eastAsia="宋体" w:cs="Times New Roman"/>
                <w:b w:val="0"/>
                <w:iCs/>
                <w:color w:val="auto"/>
                <w:sz w:val="24"/>
                <w:highlight w:val="none"/>
              </w:rPr>
              <w:t>（</w:t>
            </w:r>
            <w:r>
              <w:rPr>
                <w:rFonts w:hint="default" w:ascii="Times New Roman" w:hAnsi="Times New Roman" w:eastAsia="宋体" w:cs="Times New Roman"/>
                <w:b w:val="0"/>
                <w:iCs/>
                <w:color w:val="auto"/>
                <w:sz w:val="24"/>
                <w:highlight w:val="none"/>
                <w:lang w:val="en-US" w:eastAsia="zh-CN"/>
              </w:rPr>
              <w:t>5</w:t>
            </w:r>
            <w:r>
              <w:rPr>
                <w:rFonts w:hint="default" w:ascii="Times New Roman" w:hAnsi="Times New Roman" w:eastAsia="宋体" w:cs="Times New Roman"/>
                <w:b w:val="0"/>
                <w:iCs/>
                <w:color w:val="auto"/>
                <w:sz w:val="24"/>
                <w:highlight w:val="none"/>
              </w:rPr>
              <w:t>）法定代表人参与项目的，无需提供社保证明材料，提供身份证明材料即可。</w:t>
            </w:r>
          </w:p>
        </w:tc>
      </w:tr>
      <w:tr w14:paraId="66DB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noWrap w:val="0"/>
            <w:vAlign w:val="center"/>
          </w:tcPr>
          <w:p w14:paraId="2BF655FF">
            <w:pPr>
              <w:pStyle w:val="22"/>
              <w:ind w:right="131" w:rightChars="0"/>
              <w:jc w:val="center"/>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kern w:val="0"/>
                <w:sz w:val="24"/>
                <w:szCs w:val="28"/>
                <w:highlight w:val="none"/>
                <w:lang w:val="en-US" w:eastAsia="zh-CN" w:bidi="ar-SA"/>
              </w:rPr>
              <w:t>付款方式</w:t>
            </w:r>
          </w:p>
        </w:tc>
        <w:tc>
          <w:tcPr>
            <w:tcW w:w="6292" w:type="dxa"/>
            <w:noWrap w:val="0"/>
            <w:vAlign w:val="center"/>
          </w:tcPr>
          <w:p w14:paraId="6329922A">
            <w:pPr>
              <w:pStyle w:val="21"/>
              <w:widowControl w:val="0"/>
              <w:spacing w:before="0" w:beforeAutospacing="0" w:after="0" w:afterAutospacing="0" w:line="360" w:lineRule="auto"/>
              <w:jc w:val="both"/>
              <w:rPr>
                <w:rFonts w:hint="default" w:ascii="Times New Roman" w:hAnsi="Times New Roman" w:eastAsia="宋体" w:cs="Times New Roman"/>
                <w:b w:val="0"/>
                <w:bCs/>
                <w:color w:val="auto"/>
                <w:sz w:val="24"/>
                <w:highlight w:val="none"/>
                <w:lang w:val="zh-CN"/>
              </w:rPr>
            </w:pPr>
            <w:r>
              <w:rPr>
                <w:rFonts w:hint="default" w:ascii="Times New Roman" w:hAnsi="Times New Roman" w:eastAsia="宋体" w:cs="Times New Roman"/>
                <w:b w:val="0"/>
                <w:bCs/>
                <w:color w:val="auto"/>
                <w:sz w:val="24"/>
                <w:highlight w:val="none"/>
                <w:lang w:val="zh-CN"/>
              </w:rPr>
              <w:t>付款方式具体约定如下：</w:t>
            </w:r>
          </w:p>
          <w:p w14:paraId="4DF40EC5">
            <w:pPr>
              <w:pStyle w:val="21"/>
              <w:widowControl w:val="0"/>
              <w:spacing w:before="0" w:beforeAutospacing="0" w:after="0" w:afterAutospacing="0" w:line="360" w:lineRule="auto"/>
              <w:jc w:val="both"/>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工程竣工验收合格后，工程款资料经招标人组织审核后，30天内</w:t>
            </w:r>
            <w:r>
              <w:rPr>
                <w:rFonts w:hint="default" w:ascii="Times New Roman" w:hAnsi="Times New Roman" w:eastAsia="宋体" w:cs="Times New Roman"/>
                <w:b w:val="0"/>
                <w:bCs/>
                <w:color w:val="auto"/>
                <w:sz w:val="24"/>
                <w:highlight w:val="none"/>
                <w:lang w:val="zh-CN"/>
              </w:rPr>
              <w:t>支付至</w:t>
            </w:r>
            <w:r>
              <w:rPr>
                <w:rFonts w:hint="eastAsia" w:ascii="Times New Roman" w:hAnsi="Times New Roman" w:eastAsia="宋体" w:cs="Times New Roman"/>
                <w:b w:val="0"/>
                <w:bCs/>
                <w:color w:val="auto"/>
                <w:sz w:val="24"/>
                <w:highlight w:val="none"/>
                <w:lang w:val="en-US" w:eastAsia="zh-CN"/>
              </w:rPr>
              <w:t>已完合格工程量</w:t>
            </w:r>
            <w:r>
              <w:rPr>
                <w:rFonts w:hint="default" w:ascii="Times New Roman" w:hAnsi="Times New Roman" w:eastAsia="宋体" w:cs="Times New Roman"/>
                <w:b w:val="0"/>
                <w:bCs/>
                <w:color w:val="auto"/>
                <w:sz w:val="24"/>
                <w:highlight w:val="none"/>
                <w:lang w:val="zh-CN"/>
              </w:rPr>
              <w:t>的</w:t>
            </w:r>
            <w:r>
              <w:rPr>
                <w:rFonts w:hint="default" w:ascii="Times New Roman" w:hAnsi="Times New Roman" w:eastAsia="宋体" w:cs="Times New Roman"/>
                <w:b w:val="0"/>
                <w:bCs/>
                <w:color w:val="auto"/>
                <w:sz w:val="24"/>
                <w:highlight w:val="none"/>
                <w:lang w:val="en-US" w:eastAsia="zh-CN"/>
              </w:rPr>
              <w:t>80</w:t>
            </w: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highlight w:val="none"/>
                <w:lang w:val="zh-CN"/>
              </w:rPr>
              <w:t>；</w:t>
            </w:r>
            <w:r>
              <w:rPr>
                <w:rFonts w:hint="eastAsia" w:ascii="Times New Roman" w:hAnsi="Times New Roman" w:eastAsia="宋体" w:cs="Times New Roman"/>
                <w:b w:val="0"/>
                <w:bCs/>
                <w:color w:val="auto"/>
                <w:sz w:val="24"/>
                <w:highlight w:val="none"/>
                <w:lang w:val="en-US" w:eastAsia="zh-CN"/>
              </w:rPr>
              <w:t>项目经招标人组织审核</w:t>
            </w:r>
            <w:r>
              <w:rPr>
                <w:rFonts w:hint="default" w:ascii="Times New Roman" w:hAnsi="Times New Roman" w:eastAsia="宋体" w:cs="Times New Roman"/>
                <w:b w:val="0"/>
                <w:bCs/>
                <w:color w:val="auto"/>
                <w:sz w:val="24"/>
                <w:highlight w:val="none"/>
                <w:lang w:val="zh-CN"/>
              </w:rPr>
              <w:t>后，</w:t>
            </w:r>
            <w:r>
              <w:rPr>
                <w:rFonts w:hint="eastAsia" w:ascii="Times New Roman" w:hAnsi="Times New Roman" w:eastAsia="宋体" w:cs="Times New Roman"/>
                <w:b w:val="0"/>
                <w:bCs/>
                <w:color w:val="auto"/>
                <w:sz w:val="24"/>
                <w:highlight w:val="none"/>
                <w:lang w:val="en-US" w:eastAsia="zh-CN"/>
              </w:rPr>
              <w:t>30天内</w:t>
            </w:r>
            <w:r>
              <w:rPr>
                <w:rFonts w:hint="default" w:ascii="Times New Roman" w:hAnsi="Times New Roman" w:eastAsia="宋体" w:cs="Times New Roman"/>
                <w:b w:val="0"/>
                <w:bCs/>
                <w:color w:val="auto"/>
                <w:sz w:val="24"/>
                <w:highlight w:val="none"/>
                <w:lang w:val="zh-CN"/>
              </w:rPr>
              <w:t>支付至</w:t>
            </w:r>
            <w:r>
              <w:rPr>
                <w:rFonts w:hint="eastAsia" w:ascii="Times New Roman" w:hAnsi="Times New Roman" w:eastAsia="宋体" w:cs="Times New Roman"/>
                <w:b w:val="0"/>
                <w:bCs/>
                <w:color w:val="auto"/>
                <w:sz w:val="24"/>
                <w:highlight w:val="none"/>
                <w:lang w:val="en-US" w:eastAsia="zh-CN"/>
              </w:rPr>
              <w:t>最终审定价款</w:t>
            </w:r>
            <w:r>
              <w:rPr>
                <w:rFonts w:hint="default" w:ascii="Times New Roman" w:hAnsi="Times New Roman" w:eastAsia="宋体" w:cs="Times New Roman"/>
                <w:b w:val="0"/>
                <w:bCs/>
                <w:color w:val="auto"/>
                <w:sz w:val="24"/>
                <w:highlight w:val="none"/>
                <w:lang w:val="zh-CN"/>
              </w:rPr>
              <w:t>的</w:t>
            </w:r>
            <w:r>
              <w:rPr>
                <w:rFonts w:hint="eastAsia" w:ascii="Times New Roman" w:hAnsi="Times New Roman" w:eastAsia="宋体" w:cs="Times New Roman"/>
                <w:b w:val="0"/>
                <w:bCs/>
                <w:color w:val="auto"/>
                <w:sz w:val="24"/>
                <w:highlight w:val="none"/>
                <w:lang w:val="en-US" w:eastAsia="zh-CN"/>
              </w:rPr>
              <w:t>97%，余款作为质保金，待质保期满（竣工验收合格后壹年）后一次性支付。</w:t>
            </w:r>
          </w:p>
          <w:p w14:paraId="690BFCFD">
            <w:pPr>
              <w:pStyle w:val="21"/>
              <w:widowControl w:val="0"/>
              <w:spacing w:before="0" w:beforeAutospacing="0" w:after="0" w:afterAutospacing="0" w:line="360" w:lineRule="auto"/>
              <w:jc w:val="both"/>
              <w:rPr>
                <w:rFonts w:hint="default"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注：每次付款前，中标人须开具足额的增值税专用发票，否则，招标人拒绝付款。</w:t>
            </w:r>
          </w:p>
        </w:tc>
      </w:tr>
      <w:tr w14:paraId="36D1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3DA88F27">
            <w:pPr>
              <w:pStyle w:val="21"/>
              <w:widowControl w:val="0"/>
              <w:spacing w:before="0" w:beforeAutospacing="0" w:after="0" w:afterAutospacing="0" w:line="360" w:lineRule="auto"/>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重要提示</w:t>
            </w:r>
          </w:p>
        </w:tc>
        <w:tc>
          <w:tcPr>
            <w:tcW w:w="6292" w:type="dxa"/>
            <w:noWrap w:val="0"/>
            <w:vAlign w:val="center"/>
          </w:tcPr>
          <w:p w14:paraId="63A03E57">
            <w:pPr>
              <w:pStyle w:val="21"/>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1</w:t>
            </w:r>
            <w:r>
              <w:rPr>
                <w:rFonts w:hint="default" w:ascii="Times New Roman" w:hAnsi="Times New Roman" w:eastAsia="宋体" w:cs="Times New Roman"/>
                <w:b w:val="0"/>
                <w:color w:val="auto"/>
                <w:sz w:val="24"/>
                <w:highlight w:val="none"/>
              </w:rPr>
              <w:t>）中标人应在规定期限内领取《中标通知书》，若中标人未在规定期限内领取《中标通知书》，</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有权取消中标人中标资格</w:t>
            </w:r>
            <w:r>
              <w:rPr>
                <w:rFonts w:hint="eastAsia" w:ascii="Times New Roman" w:hAnsi="Times New Roman" w:eastAsia="宋体" w:cs="Times New Roman"/>
                <w:b w:val="0"/>
                <w:color w:val="auto"/>
                <w:sz w:val="24"/>
                <w:highlight w:val="none"/>
                <w:lang w:eastAsia="zh-CN"/>
              </w:rPr>
              <w:t>。</w:t>
            </w:r>
          </w:p>
          <w:p w14:paraId="264A3ADB">
            <w:pPr>
              <w:pStyle w:val="21"/>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2</w:t>
            </w:r>
            <w:r>
              <w:rPr>
                <w:rFonts w:hint="default" w:ascii="Times New Roman" w:hAnsi="Times New Roman" w:eastAsia="宋体" w:cs="Times New Roman"/>
                <w:b w:val="0"/>
                <w:color w:val="auto"/>
                <w:sz w:val="24"/>
                <w:highlight w:val="none"/>
              </w:rPr>
              <w:t>）合同签订后，中标人存在规定时间内不组织人员进场开工，不履行</w:t>
            </w:r>
            <w:r>
              <w:rPr>
                <w:rFonts w:hint="eastAsia" w:ascii="Times New Roman" w:hAnsi="Times New Roman" w:eastAsia="宋体" w:cs="Times New Roman"/>
                <w:b w:val="0"/>
                <w:color w:val="auto"/>
                <w:sz w:val="24"/>
                <w:highlight w:val="none"/>
                <w:lang w:val="en-US" w:eastAsia="zh-CN"/>
              </w:rPr>
              <w:t>合同</w:t>
            </w:r>
            <w:r>
              <w:rPr>
                <w:rFonts w:hint="default" w:ascii="Times New Roman" w:hAnsi="Times New Roman" w:eastAsia="宋体" w:cs="Times New Roman"/>
                <w:b w:val="0"/>
                <w:color w:val="auto"/>
                <w:sz w:val="24"/>
                <w:highlight w:val="none"/>
              </w:rPr>
              <w:t>义务等情况，</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有权解除合同，并追究违约责任</w:t>
            </w:r>
            <w:r>
              <w:rPr>
                <w:rFonts w:hint="eastAsia" w:ascii="Times New Roman" w:hAnsi="Times New Roman" w:eastAsia="宋体" w:cs="Times New Roman"/>
                <w:b w:val="0"/>
                <w:color w:val="auto"/>
                <w:sz w:val="24"/>
                <w:highlight w:val="none"/>
                <w:lang w:eastAsia="zh-CN"/>
              </w:rPr>
              <w:t>。</w:t>
            </w:r>
          </w:p>
          <w:p w14:paraId="20478AA0">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3</w:t>
            </w:r>
            <w:r>
              <w:rPr>
                <w:rFonts w:hint="default" w:ascii="Times New Roman" w:hAnsi="Times New Roman" w:eastAsia="宋体" w:cs="Times New Roman"/>
                <w:b w:val="0"/>
                <w:color w:val="auto"/>
                <w:sz w:val="24"/>
                <w:highlight w:val="none"/>
              </w:rPr>
              <w:t>）中标人中标后被监管部门查实存在违法行为，不满足中标条件的，由</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取消中标资格，并做好项目后续工作；</w:t>
            </w:r>
          </w:p>
          <w:p w14:paraId="761D45AA">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4</w:t>
            </w:r>
            <w:r>
              <w:rPr>
                <w:rFonts w:hint="default" w:ascii="Times New Roman" w:hAnsi="Times New Roman" w:eastAsia="宋体" w:cs="Times New Roman"/>
                <w:b w:val="0"/>
                <w:color w:val="auto"/>
                <w:sz w:val="24"/>
                <w:highlight w:val="none"/>
              </w:rPr>
              <w:t>）中标人在中标项目发生投诉、信访举报案件、履约存在争议时，拒绝协助配合执法部门调查案件的，</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可以取消其中标资格或解除合同，并追究其违约责任。</w:t>
            </w:r>
          </w:p>
          <w:p w14:paraId="5537EE21">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val="0"/>
                <w:color w:val="auto"/>
                <w:sz w:val="24"/>
                <w:highlight w:val="none"/>
                <w:lang w:eastAsia="zh-CN"/>
              </w:rPr>
              <w:t>（</w:t>
            </w:r>
            <w:r>
              <w:rPr>
                <w:rFonts w:hint="default" w:ascii="Times New Roman" w:hAnsi="Times New Roman" w:eastAsia="宋体" w:cs="Times New Roman"/>
                <w:b w:val="0"/>
                <w:color w:val="auto"/>
                <w:sz w:val="24"/>
                <w:highlight w:val="none"/>
                <w:lang w:val="en-US" w:eastAsia="zh-CN"/>
              </w:rPr>
              <w:t>5</w:t>
            </w:r>
            <w:r>
              <w:rPr>
                <w:rFonts w:hint="default" w:ascii="Times New Roman" w:hAnsi="Times New Roman" w:eastAsia="宋体" w:cs="Times New Roman"/>
                <w:b w:val="0"/>
                <w:color w:val="auto"/>
                <w:sz w:val="24"/>
                <w:highlight w:val="none"/>
                <w:lang w:eastAsia="zh-CN"/>
              </w:rPr>
              <w:t>）</w:t>
            </w:r>
            <w:r>
              <w:rPr>
                <w:rFonts w:hint="default" w:ascii="Times New Roman" w:hAnsi="Times New Roman" w:eastAsia="宋体" w:cs="Times New Roman"/>
                <w:b w:val="0"/>
                <w:color w:val="auto"/>
                <w:sz w:val="24"/>
                <w:highlight w:val="none"/>
                <w:lang w:val="en-US" w:eastAsia="zh-CN"/>
              </w:rPr>
              <w:t>施工</w:t>
            </w:r>
            <w:r>
              <w:rPr>
                <w:rFonts w:hint="eastAsia" w:ascii="Times New Roman" w:hAnsi="Times New Roman" w:eastAsia="宋体" w:cs="Times New Roman"/>
                <w:b w:val="0"/>
                <w:color w:val="auto"/>
                <w:sz w:val="24"/>
                <w:highlight w:val="none"/>
                <w:lang w:val="en-US" w:eastAsia="zh-CN"/>
              </w:rPr>
              <w:t>、调试</w:t>
            </w:r>
            <w:r>
              <w:rPr>
                <w:rFonts w:hint="default" w:ascii="Times New Roman" w:hAnsi="Times New Roman" w:eastAsia="宋体" w:cs="Times New Roman"/>
                <w:b w:val="0"/>
                <w:color w:val="auto"/>
                <w:sz w:val="24"/>
                <w:highlight w:val="none"/>
                <w:lang w:val="en-US" w:eastAsia="zh-CN"/>
              </w:rPr>
              <w:t>期间，招标人</w:t>
            </w:r>
            <w:r>
              <w:rPr>
                <w:rFonts w:hint="eastAsia" w:ascii="Times New Roman" w:hAnsi="Times New Roman" w:eastAsia="宋体" w:cs="Times New Roman"/>
                <w:b w:val="0"/>
                <w:color w:val="auto"/>
                <w:sz w:val="24"/>
                <w:highlight w:val="none"/>
                <w:lang w:val="en-US" w:eastAsia="zh-CN"/>
              </w:rPr>
              <w:t>协助中标人解决水、电接驳点事宜</w:t>
            </w:r>
            <w:r>
              <w:rPr>
                <w:rFonts w:hint="default" w:ascii="Times New Roman" w:hAnsi="Times New Roman" w:eastAsia="宋体" w:cs="Times New Roman"/>
                <w:b w:val="0"/>
                <w:color w:val="auto"/>
                <w:sz w:val="24"/>
                <w:highlight w:val="none"/>
                <w:lang w:val="en-US" w:eastAsia="zh-CN"/>
              </w:rPr>
              <w:t>，但施工</w:t>
            </w:r>
            <w:r>
              <w:rPr>
                <w:rFonts w:hint="eastAsia" w:ascii="Times New Roman" w:hAnsi="Times New Roman" w:eastAsia="宋体" w:cs="Times New Roman"/>
                <w:b w:val="0"/>
                <w:color w:val="auto"/>
                <w:sz w:val="24"/>
                <w:highlight w:val="none"/>
                <w:lang w:val="en-US" w:eastAsia="zh-CN"/>
              </w:rPr>
              <w:t>、</w:t>
            </w:r>
            <w:r>
              <w:rPr>
                <w:rFonts w:hint="default" w:ascii="Times New Roman" w:hAnsi="Times New Roman" w:eastAsia="宋体" w:cs="Times New Roman"/>
                <w:b w:val="0"/>
                <w:color w:val="auto"/>
                <w:sz w:val="24"/>
                <w:highlight w:val="none"/>
                <w:lang w:val="en-US" w:eastAsia="zh-CN"/>
              </w:rPr>
              <w:t>调试期间产生</w:t>
            </w:r>
            <w:r>
              <w:rPr>
                <w:rFonts w:hint="eastAsia" w:ascii="Times New Roman" w:hAnsi="Times New Roman" w:eastAsia="宋体" w:cs="Times New Roman"/>
                <w:b w:val="0"/>
                <w:color w:val="auto"/>
                <w:sz w:val="24"/>
                <w:highlight w:val="none"/>
                <w:lang w:val="en-US" w:eastAsia="zh-CN"/>
              </w:rPr>
              <w:t>所有</w:t>
            </w:r>
            <w:r>
              <w:rPr>
                <w:rFonts w:hint="default" w:ascii="Times New Roman" w:hAnsi="Times New Roman" w:eastAsia="宋体" w:cs="Times New Roman"/>
                <w:b w:val="0"/>
                <w:color w:val="auto"/>
                <w:sz w:val="24"/>
                <w:highlight w:val="none"/>
                <w:lang w:val="en-US" w:eastAsia="zh-CN"/>
              </w:rPr>
              <w:t>水电费由中标人</w:t>
            </w:r>
            <w:r>
              <w:rPr>
                <w:rFonts w:hint="eastAsia" w:ascii="Times New Roman" w:hAnsi="Times New Roman" w:eastAsia="宋体" w:cs="Times New Roman"/>
                <w:b w:val="0"/>
                <w:color w:val="auto"/>
                <w:sz w:val="24"/>
                <w:highlight w:val="none"/>
                <w:lang w:val="en-US" w:eastAsia="zh-CN"/>
              </w:rPr>
              <w:t>自行</w:t>
            </w:r>
            <w:r>
              <w:rPr>
                <w:rFonts w:hint="default" w:ascii="Times New Roman" w:hAnsi="Times New Roman" w:eastAsia="宋体" w:cs="Times New Roman"/>
                <w:b w:val="0"/>
                <w:color w:val="auto"/>
                <w:sz w:val="24"/>
                <w:highlight w:val="none"/>
                <w:lang w:val="en-US" w:eastAsia="zh-CN"/>
              </w:rPr>
              <w:t>承担</w:t>
            </w:r>
            <w:r>
              <w:rPr>
                <w:rFonts w:hint="eastAsia" w:ascii="Times New Roman" w:hAnsi="Times New Roman" w:eastAsia="宋体" w:cs="Times New Roman"/>
                <w:b w:val="0"/>
                <w:color w:val="auto"/>
                <w:sz w:val="24"/>
                <w:highlight w:val="none"/>
                <w:lang w:val="en-US" w:eastAsia="zh-CN"/>
              </w:rPr>
              <w:t>，均含在投标报价内</w:t>
            </w:r>
            <w:r>
              <w:rPr>
                <w:rFonts w:hint="default" w:ascii="Times New Roman" w:hAnsi="Times New Roman" w:eastAsia="宋体" w:cs="Times New Roman"/>
                <w:b w:val="0"/>
                <w:color w:val="auto"/>
                <w:sz w:val="24"/>
                <w:highlight w:val="none"/>
                <w:lang w:val="en-US" w:eastAsia="zh-CN"/>
              </w:rPr>
              <w:t>。</w:t>
            </w:r>
          </w:p>
          <w:p w14:paraId="3859D133">
            <w:pPr>
              <w:pStyle w:val="21"/>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（6）</w:t>
            </w:r>
            <w:r>
              <w:rPr>
                <w:rFonts w:hint="default" w:ascii="Times New Roman" w:hAnsi="Times New Roman" w:eastAsia="宋体" w:cs="Times New Roman"/>
                <w:b w:val="0"/>
                <w:color w:val="auto"/>
                <w:sz w:val="24"/>
                <w:highlight w:val="none"/>
                <w:lang w:val="en-US" w:eastAsia="zh-CN"/>
              </w:rPr>
              <w:t>施工期间，</w:t>
            </w:r>
            <w:r>
              <w:rPr>
                <w:rFonts w:hint="eastAsia" w:ascii="Times New Roman" w:hAnsi="Times New Roman" w:eastAsia="宋体" w:cs="Times New Roman"/>
                <w:b w:val="0"/>
                <w:color w:val="auto"/>
                <w:sz w:val="24"/>
                <w:highlight w:val="none"/>
                <w:lang w:val="en-US" w:eastAsia="zh-CN"/>
              </w:rPr>
              <w:t>中标人须无条件服从小区物业公司管理，须按其规定缴纳可能产生的费用及相关保证金、押金等。</w:t>
            </w:r>
          </w:p>
          <w:p w14:paraId="452D6870">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7）项目位于已建成交付的小区内，中标人施工、调试期间，须采取有效的成品保护措施，以及噪音施工需规避的时间，如因中标人原因造成现场成品损坏的，中标人须无条件维修、恢复至原样，否则，招标人直接拒绝付款。</w:t>
            </w:r>
          </w:p>
          <w:p w14:paraId="4A49F905">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（8）因特殊原因经招标人书面确认后，工期可予以相应顺延。</w:t>
            </w:r>
          </w:p>
          <w:p w14:paraId="40F7B3A7">
            <w:pPr>
              <w:pStyle w:val="21"/>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9）中标人须无条件做好现场安全文明施工，包含但不限于用电安全、消防安全、登高作业安全、施工区域的全封闭、必要的施工告知牌、临时导视牌等，同时，须做到“工完料尽场地清”，施工垃圾不得在施工区域以外的其他任何区域堆放。</w:t>
            </w:r>
          </w:p>
          <w:p w14:paraId="7D084F85">
            <w:pPr>
              <w:pStyle w:val="21"/>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（10）竣工验收前，中标人须对现场进行精细化保洁，由此产生的一切费用均包含在投标报价中，由中标人自行承担。</w:t>
            </w:r>
          </w:p>
          <w:p w14:paraId="2D8CE9CB">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p>
        </w:tc>
      </w:tr>
      <w:tr w14:paraId="4963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4ACCFF11">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解释权</w:t>
            </w:r>
          </w:p>
        </w:tc>
        <w:tc>
          <w:tcPr>
            <w:tcW w:w="6292" w:type="dxa"/>
            <w:noWrap w:val="0"/>
            <w:vAlign w:val="center"/>
          </w:tcPr>
          <w:p w14:paraId="61BDFBDE">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（1）构成本招标文件的各个组成文件应互为解释，互为说明；</w:t>
            </w:r>
          </w:p>
          <w:p w14:paraId="37241C05">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（2）同一组成文件中就同一事项的规定或约定不一致的，除招标文件另有规定外，以编排顺序在后者为准；</w:t>
            </w:r>
          </w:p>
          <w:p w14:paraId="01251979">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（3）如有不明确或不一致，构成合同文件组成内容的，以合同文件约定内容为准，且以专用合同条款约定的合同文件优先顺序解释；</w:t>
            </w:r>
          </w:p>
          <w:p w14:paraId="5D20A959">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（4）除招标文件中有特别规定外，仅适用于招标投标阶段的规定，按投标邀请、投标人须知、评标方法和标准、投标文件格式的先后顺序解释；</w:t>
            </w:r>
          </w:p>
          <w:p w14:paraId="07EDFC0D">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（5）按本款前述规定仍不能形成结论的，由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负责解释。</w:t>
            </w:r>
          </w:p>
        </w:tc>
      </w:tr>
      <w:tr w14:paraId="6616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14:paraId="046B6391">
            <w:pPr>
              <w:pStyle w:val="21"/>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其他补充说明</w:t>
            </w:r>
          </w:p>
        </w:tc>
        <w:tc>
          <w:tcPr>
            <w:tcW w:w="6292" w:type="dxa"/>
            <w:noWrap w:val="0"/>
            <w:vAlign w:val="center"/>
          </w:tcPr>
          <w:p w14:paraId="52FEEA73">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 xml:space="preserve">1.本项目投标文件要求详见本须知前附表，投标文件现场递交，无需上传电子投标文件。 </w:t>
            </w:r>
          </w:p>
          <w:p w14:paraId="174BDCD8">
            <w:pPr>
              <w:spacing w:line="360" w:lineRule="auto"/>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bCs/>
                <w:color w:val="auto"/>
                <w:sz w:val="24"/>
                <w:szCs w:val="24"/>
                <w:highlight w:val="none"/>
              </w:rPr>
              <w:t>2.</w:t>
            </w:r>
            <w:r>
              <w:rPr>
                <w:rFonts w:hint="default" w:ascii="Times New Roman" w:hAnsi="Times New Roman" w:cs="Times New Roman"/>
                <w:color w:val="auto"/>
                <w:highlight w:val="none"/>
              </w:rPr>
              <w:t xml:space="preserve"> </w:t>
            </w:r>
            <w:r>
              <w:rPr>
                <w:rFonts w:hint="default" w:ascii="Times New Roman" w:hAnsi="Times New Roman" w:eastAsia="宋体" w:cs="Times New Roman"/>
                <w:bCs/>
                <w:color w:val="auto"/>
                <w:sz w:val="24"/>
                <w:szCs w:val="24"/>
                <w:highlight w:val="none"/>
              </w:rPr>
              <w:t>本项目资金来源：自筹</w:t>
            </w:r>
          </w:p>
        </w:tc>
      </w:tr>
    </w:tbl>
    <w:p w14:paraId="02B54E1B">
      <w:pPr>
        <w:pStyle w:val="4"/>
        <w:ind w:firstLine="1355" w:firstLineChars="500"/>
        <w:rPr>
          <w:rFonts w:hint="default" w:ascii="Times New Roman" w:hAnsi="Times New Roman" w:cs="Times New Roman"/>
          <w:color w:val="auto"/>
          <w:sz w:val="20"/>
          <w:highlight w:val="none"/>
        </w:rPr>
      </w:pPr>
      <w:r>
        <w:rPr>
          <w:rFonts w:hint="default" w:ascii="Times New Roman" w:hAnsi="Times New Roman" w:cs="Times New Roman"/>
          <w:color w:val="auto"/>
          <w:sz w:val="27"/>
          <w:highlight w:val="none"/>
        </w:rPr>
        <w:br w:type="page"/>
      </w:r>
      <w:r>
        <w:rPr>
          <w:rFonts w:hint="default" w:ascii="Times New Roman" w:hAnsi="Times New Roman" w:cs="Times New Roman"/>
          <w:color w:val="auto"/>
          <w:highlight w:val="none"/>
        </w:rPr>
        <w:t xml:space="preserve">附录 1 资格审查条件(资质最低条件) </w:t>
      </w:r>
    </w:p>
    <w:tbl>
      <w:tblPr>
        <w:tblStyle w:val="17"/>
        <w:tblpPr w:leftFromText="180" w:rightFromText="180" w:vertAnchor="text" w:horzAnchor="page" w:tblpX="1436" w:tblpY="155"/>
        <w:tblOverlap w:val="never"/>
        <w:tblW w:w="49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18"/>
      </w:tblGrid>
      <w:tr w14:paraId="50F7E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5000" w:type="pct"/>
            <w:noWrap w:val="0"/>
            <w:vAlign w:val="center"/>
          </w:tcPr>
          <w:p w14:paraId="0A1EC61B">
            <w:pPr>
              <w:pStyle w:val="22"/>
              <w:spacing w:before="66"/>
              <w:ind w:right="3182"/>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bCs/>
                <w:color w:val="auto"/>
                <w:kern w:val="2"/>
                <w:sz w:val="24"/>
                <w:szCs w:val="24"/>
                <w:highlight w:val="none"/>
                <w:lang w:val="en-US" w:eastAsia="zh-CN" w:bidi="ar-SA"/>
              </w:rPr>
              <w:t xml:space="preserve">                        资质证书及其他要求</w:t>
            </w:r>
          </w:p>
        </w:tc>
      </w:tr>
      <w:tr w14:paraId="5B083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9" w:hRule="atLeast"/>
          <w:jc w:val="center"/>
        </w:trPr>
        <w:tc>
          <w:tcPr>
            <w:tcW w:w="5000" w:type="pct"/>
            <w:noWrap w:val="0"/>
            <w:vAlign w:val="top"/>
          </w:tcPr>
          <w:p w14:paraId="565ABB30">
            <w:pPr>
              <w:pStyle w:val="22"/>
              <w:numPr>
                <w:ilvl w:val="0"/>
                <w:numId w:val="0"/>
              </w:numPr>
              <w:tabs>
                <w:tab w:val="left" w:pos="688"/>
              </w:tabs>
              <w:spacing w:before="123" w:after="0" w:line="360" w:lineRule="auto"/>
              <w:ind w:left="526" w:leftChars="0" w:right="0" w:right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1、</w:t>
            </w:r>
            <w:r>
              <w:rPr>
                <w:rFonts w:hint="default" w:ascii="Times New Roman" w:hAnsi="Times New Roman" w:eastAsia="宋体" w:cs="Times New Roman"/>
                <w:color w:val="auto"/>
                <w:spacing w:val="-3"/>
                <w:sz w:val="24"/>
                <w:szCs w:val="24"/>
                <w:highlight w:val="none"/>
              </w:rPr>
              <w:t>具备有效的营业执照</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事业单位法人证书。</w:t>
            </w:r>
          </w:p>
          <w:p w14:paraId="4755B894">
            <w:pPr>
              <w:pStyle w:val="22"/>
              <w:numPr>
                <w:ilvl w:val="0"/>
                <w:numId w:val="0"/>
              </w:numPr>
              <w:tabs>
                <w:tab w:val="left" w:pos="688"/>
              </w:tabs>
              <w:spacing w:before="0" w:after="0" w:line="360" w:lineRule="auto"/>
              <w:ind w:left="526" w:leftChars="0" w:right="0" w:right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2、</w:t>
            </w:r>
            <w:r>
              <w:rPr>
                <w:rFonts w:hint="default" w:ascii="Times New Roman" w:hAnsi="Times New Roman" w:eastAsia="宋体" w:cs="Times New Roman"/>
                <w:color w:val="auto"/>
                <w:spacing w:val="-3"/>
                <w:sz w:val="24"/>
                <w:szCs w:val="24"/>
                <w:highlight w:val="none"/>
              </w:rPr>
              <w:t>具备有效的资质证书（见招标公告要求</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w:t>
            </w:r>
          </w:p>
        </w:tc>
      </w:tr>
    </w:tbl>
    <w:p w14:paraId="120928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2D453F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675E0A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4E85991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Times New Roman" w:hAnsi="Times New Roman" w:eastAsia="宋体" w:cs="Times New Roman"/>
          <w:color w:val="auto"/>
          <w:sz w:val="24"/>
          <w:szCs w:val="24"/>
          <w:highlight w:val="none"/>
          <w:lang w:val="en-US" w:eastAsia="zh-CN"/>
        </w:rPr>
      </w:pPr>
    </w:p>
    <w:p w14:paraId="5C80D0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5DBC63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3C4C5E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注：投标人应提供营业执照/事业单位法人证书、资质证书等材料扫描件。</w:t>
      </w:r>
    </w:p>
    <w:p w14:paraId="45201BFB">
      <w:pPr>
        <w:pStyle w:val="7"/>
        <w:keepNext w:val="0"/>
        <w:keepLines w:val="0"/>
        <w:pageBreakBefore w:val="0"/>
        <w:widowControl w:val="0"/>
        <w:kinsoku/>
        <w:wordWrap/>
        <w:overflowPunct/>
        <w:topLinePunct w:val="0"/>
        <w:autoSpaceDE/>
        <w:autoSpaceDN/>
        <w:bidi w:val="0"/>
        <w:adjustRightInd/>
        <w:snapToGrid/>
        <w:spacing w:before="2" w:line="360" w:lineRule="auto"/>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br w:type="page"/>
      </w:r>
    </w:p>
    <w:p w14:paraId="01EBBE5F">
      <w:pPr>
        <w:pStyle w:val="4"/>
        <w:ind w:left="1959"/>
        <w:rPr>
          <w:rFonts w:hint="default" w:ascii="Times New Roman" w:hAnsi="Times New Roman" w:cs="Times New Roman"/>
          <w:color w:val="auto"/>
          <w:highlight w:val="none"/>
        </w:rPr>
      </w:pPr>
      <w:bookmarkStart w:id="6" w:name="_Toc68098218"/>
      <w:bookmarkStart w:id="7" w:name="_Toc38879317"/>
      <w:bookmarkStart w:id="8" w:name="_Toc11078138"/>
      <w:r>
        <w:rPr>
          <w:rFonts w:hint="default" w:ascii="Times New Roman" w:hAnsi="Times New Roman" w:cs="Times New Roman"/>
          <w:color w:val="auto"/>
          <w:highlight w:val="none"/>
        </w:rPr>
        <w:t>附录2  资格审查条件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财务最低要求</w:t>
      </w:r>
      <w:r>
        <w:rPr>
          <w:rFonts w:hint="default" w:ascii="Times New Roman" w:hAnsi="Times New Roman" w:cs="Times New Roman"/>
          <w:color w:val="auto"/>
          <w:highlight w:val="none"/>
          <w:lang w:eastAsia="zh-CN"/>
        </w:rPr>
        <w:t>）</w:t>
      </w:r>
      <w:bookmarkEnd w:id="6"/>
      <w:bookmarkEnd w:id="7"/>
      <w:bookmarkEnd w:id="8"/>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4"/>
      </w:tblGrid>
      <w:tr w14:paraId="383F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70CE239B">
            <w:pPr>
              <w:pStyle w:val="23"/>
              <w:adjustRightInd w:val="0"/>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财务要求</w:t>
            </w:r>
          </w:p>
        </w:tc>
      </w:tr>
      <w:tr w14:paraId="33DA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73288B33">
            <w:pPr>
              <w:pStyle w:val="23"/>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snapToGrid w:val="0"/>
                <w:color w:val="auto"/>
                <w:kern w:val="0"/>
                <w:sz w:val="24"/>
                <w:szCs w:val="24"/>
                <w:highlight w:val="none"/>
              </w:rPr>
              <w:sym w:font="Wingdings 2" w:char="0052"/>
            </w:r>
            <w:r>
              <w:rPr>
                <w:rFonts w:hint="default" w:ascii="Times New Roman" w:hAnsi="Times New Roman" w:eastAsia="宋体" w:cs="Times New Roman"/>
                <w:bCs/>
                <w:color w:val="auto"/>
                <w:sz w:val="24"/>
                <w:szCs w:val="24"/>
                <w:highlight w:val="none"/>
              </w:rPr>
              <w:t>无需提供。</w:t>
            </w:r>
          </w:p>
          <w:p w14:paraId="598D6958">
            <w:pPr>
              <w:pStyle w:val="23"/>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需提供以下材料：</w:t>
            </w:r>
          </w:p>
          <w:p w14:paraId="28A137C3">
            <w:pPr>
              <w:pStyle w:val="23"/>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经会计师事务所或审计机构审计的财务会计报表，包括资产负债表、现金流量表、利润表、财务情况说明书</w:t>
            </w:r>
          </w:p>
          <w:p w14:paraId="0DB0B2E3">
            <w:pPr>
              <w:pStyle w:val="23"/>
              <w:adjustRightInd w:val="0"/>
              <w:snapToGrid w:val="0"/>
              <w:rPr>
                <w:rFonts w:hint="default" w:ascii="Times New Roman" w:hAnsi="Times New Roman" w:eastAsia="宋体" w:cs="Times New Roman"/>
                <w:bCs/>
                <w:color w:val="auto"/>
                <w:sz w:val="24"/>
                <w:szCs w:val="24"/>
                <w:highlight w:val="none"/>
              </w:rPr>
            </w:pPr>
          </w:p>
        </w:tc>
      </w:tr>
    </w:tbl>
    <w:p w14:paraId="45FB8725">
      <w:pPr>
        <w:pStyle w:val="23"/>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cs="Times New Roman"/>
          <w:bCs/>
          <w:color w:val="auto"/>
          <w:kern w:val="0"/>
          <w:sz w:val="24"/>
          <w:szCs w:val="24"/>
          <w:highlight w:val="none"/>
        </w:rPr>
      </w:pPr>
    </w:p>
    <w:p w14:paraId="14AD57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注：证明材料的信息应完整或能充分证明满足评审需要。</w:t>
      </w:r>
    </w:p>
    <w:p w14:paraId="36420ADA">
      <w:pPr>
        <w:pStyle w:val="23"/>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cs="Times New Roman"/>
          <w:bCs/>
          <w:snapToGrid w:val="0"/>
          <w:color w:val="auto"/>
          <w:kern w:val="0"/>
          <w:sz w:val="24"/>
          <w:szCs w:val="24"/>
          <w:highlight w:val="none"/>
        </w:rPr>
      </w:pPr>
      <w:r>
        <w:rPr>
          <w:rFonts w:hint="default" w:ascii="Times New Roman" w:hAnsi="Times New Roman" w:cs="Times New Roman"/>
          <w:bCs/>
          <w:snapToGrid w:val="0"/>
          <w:color w:val="auto"/>
          <w:kern w:val="0"/>
          <w:sz w:val="24"/>
          <w:szCs w:val="24"/>
          <w:highlight w:val="none"/>
        </w:rPr>
        <w:br w:type="page"/>
      </w:r>
    </w:p>
    <w:p w14:paraId="31F6A257">
      <w:pPr>
        <w:pStyle w:val="4"/>
        <w:ind w:left="1959"/>
        <w:rPr>
          <w:rFonts w:hint="default" w:ascii="Times New Roman" w:hAnsi="Times New Roman" w:cs="Times New Roman"/>
          <w:color w:val="auto"/>
          <w:highlight w:val="none"/>
        </w:rPr>
      </w:pPr>
      <w:bookmarkStart w:id="9" w:name="_bookmark5"/>
      <w:bookmarkEnd w:id="9"/>
      <w:bookmarkStart w:id="10" w:name="附录3  资格审查条件(业绩最低要求)"/>
      <w:bookmarkEnd w:id="10"/>
      <w:r>
        <w:rPr>
          <w:rFonts w:hint="default" w:ascii="Times New Roman" w:hAnsi="Times New Roman" w:cs="Times New Roman"/>
          <w:color w:val="auto"/>
          <w:highlight w:val="none"/>
        </w:rPr>
        <w:t>附录 3 资格审查条件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业绩最低要求</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 xml:space="preserve"> </w:t>
      </w:r>
    </w:p>
    <w:p w14:paraId="6BA2E052">
      <w:pPr>
        <w:pStyle w:val="7"/>
        <w:rPr>
          <w:rFonts w:hint="default" w:ascii="Times New Roman" w:hAnsi="Times New Roman" w:cs="Times New Roman"/>
          <w:color w:val="auto"/>
          <w:sz w:val="20"/>
          <w:highlight w:val="none"/>
        </w:rPr>
      </w:pPr>
    </w:p>
    <w:p w14:paraId="591FBC52">
      <w:pPr>
        <w:pStyle w:val="7"/>
        <w:spacing w:before="12"/>
        <w:rPr>
          <w:rFonts w:hint="default" w:ascii="Times New Roman" w:hAnsi="Times New Roman" w:cs="Times New Roman"/>
          <w:color w:val="auto"/>
          <w:sz w:val="23"/>
          <w:highlight w:val="none"/>
        </w:rPr>
      </w:pP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88"/>
      </w:tblGrid>
      <w:tr w14:paraId="4813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000" w:type="pct"/>
            <w:noWrap w:val="0"/>
            <w:vAlign w:val="top"/>
          </w:tcPr>
          <w:p w14:paraId="2A851534">
            <w:pPr>
              <w:pStyle w:val="22"/>
              <w:spacing w:before="73"/>
              <w:ind w:left="3250" w:right="3135"/>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投标人业绩要求</w:t>
            </w:r>
            <w:r>
              <w:rPr>
                <w:rFonts w:hint="default" w:ascii="Times New Roman" w:hAnsi="Times New Roman" w:eastAsia="宋体" w:cs="Times New Roman"/>
                <w:b/>
                <w:color w:val="auto"/>
                <w:w w:val="168"/>
                <w:sz w:val="24"/>
                <w:szCs w:val="24"/>
                <w:highlight w:val="none"/>
              </w:rPr>
              <w:t xml:space="preserve"> </w:t>
            </w:r>
          </w:p>
        </w:tc>
      </w:tr>
      <w:tr w14:paraId="3095B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000" w:type="pct"/>
            <w:noWrap w:val="0"/>
            <w:vAlign w:val="top"/>
          </w:tcPr>
          <w:p w14:paraId="4D4AB0A6">
            <w:pPr>
              <w:pStyle w:val="22"/>
              <w:rPr>
                <w:rFonts w:hint="default" w:ascii="Times New Roman" w:hAnsi="Times New Roman" w:eastAsia="宋体" w:cs="Times New Roman"/>
                <w:color w:val="auto"/>
                <w:sz w:val="24"/>
                <w:szCs w:val="24"/>
                <w:highlight w:val="none"/>
              </w:rPr>
            </w:pPr>
          </w:p>
          <w:p w14:paraId="30F2C14E">
            <w:pPr>
              <w:pStyle w:val="22"/>
              <w:spacing w:before="131"/>
              <w:ind w:left="544"/>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业绩要求见招标公告要求。</w:t>
            </w:r>
          </w:p>
        </w:tc>
      </w:tr>
    </w:tbl>
    <w:p w14:paraId="55AC324D">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18"/>
          <w:highlight w:val="none"/>
        </w:rPr>
      </w:pPr>
    </w:p>
    <w:p w14:paraId="37F1C2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注：投标人应按下列规定提供业绩证明资料：</w:t>
      </w:r>
    </w:p>
    <w:p w14:paraId="27C8D5A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1.合同协议书。投标人所提供合同协议书应与监管部门备案的合同协议书（如有）保 持一致，评标结束后若发现不一致的以备案合同协议书为准，并视同提供虚假材料；</w:t>
      </w:r>
    </w:p>
    <w:p w14:paraId="056407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2.设计任务已完成的证明文件（如审图合格证或施工许可证或施工许可结果查询网页 截图或竣工验收证明文件）。如果合同协议书和该证明文件中的合同要素不一致，以该证明文件为准。</w:t>
      </w:r>
    </w:p>
    <w:p w14:paraId="26A55FBA">
      <w:pPr>
        <w:pStyle w:val="24"/>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14:paraId="2D9E5188">
      <w:pPr>
        <w:pStyle w:val="24"/>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14:paraId="2BA9A7E4">
      <w:pPr>
        <w:pStyle w:val="24"/>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14:paraId="273C2A2D">
      <w:pPr>
        <w:pStyle w:val="24"/>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14:paraId="77BA9AD6">
      <w:pPr>
        <w:pStyle w:val="24"/>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14:paraId="598B9486">
      <w:pPr>
        <w:pStyle w:val="24"/>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14:paraId="373E6CDA">
      <w:pPr>
        <w:pStyle w:val="4"/>
        <w:rPr>
          <w:rFonts w:hint="default" w:ascii="Times New Roman" w:hAnsi="Times New Roman" w:cs="Times New Roman"/>
          <w:color w:val="auto"/>
          <w:highlight w:val="none"/>
        </w:rPr>
      </w:pPr>
      <w:bookmarkStart w:id="11" w:name="_bookmark6"/>
      <w:bookmarkEnd w:id="11"/>
      <w:bookmarkStart w:id="12" w:name="附录4  资格审查条件(信誉最低要求)"/>
      <w:bookmarkEnd w:id="12"/>
    </w:p>
    <w:p w14:paraId="18BB55E0">
      <w:pPr>
        <w:rPr>
          <w:rFonts w:hint="default"/>
        </w:rPr>
      </w:pPr>
    </w:p>
    <w:p w14:paraId="2868D73B">
      <w:pPr>
        <w:pStyle w:val="4"/>
        <w:jc w:val="center"/>
        <w:rPr>
          <w:rFonts w:hint="default" w:ascii="Times New Roman" w:hAnsi="Times New Roman" w:cs="Times New Roman"/>
          <w:color w:val="auto"/>
          <w:sz w:val="20"/>
          <w:highlight w:val="none"/>
        </w:rPr>
      </w:pPr>
      <w:r>
        <w:rPr>
          <w:rFonts w:hint="default" w:ascii="Times New Roman" w:hAnsi="Times New Roman" w:cs="Times New Roman"/>
          <w:color w:val="auto"/>
          <w:highlight w:val="none"/>
        </w:rPr>
        <w:t>附录 4 资格审查条件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信誉最低要求</w:t>
      </w:r>
      <w:r>
        <w:rPr>
          <w:rFonts w:hint="default" w:ascii="Times New Roman" w:hAnsi="Times New Roman" w:cs="Times New Roman"/>
          <w:color w:val="auto"/>
          <w:highlight w:val="none"/>
          <w:lang w:eastAsia="zh-CN"/>
        </w:rPr>
        <w:t>）</w:t>
      </w:r>
    </w:p>
    <w:p w14:paraId="7958766A">
      <w:pPr>
        <w:pStyle w:val="7"/>
        <w:spacing w:before="11"/>
        <w:rPr>
          <w:rFonts w:hint="default" w:ascii="Times New Roman" w:hAnsi="Times New Roman" w:cs="Times New Roman"/>
          <w:color w:val="auto"/>
          <w:sz w:val="23"/>
          <w:highlight w:val="none"/>
        </w:rPr>
      </w:pP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88"/>
      </w:tblGrid>
      <w:tr w14:paraId="7BFB0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000" w:type="pct"/>
            <w:noWrap w:val="0"/>
            <w:vAlign w:val="top"/>
          </w:tcPr>
          <w:p w14:paraId="0F3E5FA5">
            <w:pPr>
              <w:pStyle w:val="22"/>
              <w:spacing w:before="46"/>
              <w:ind w:left="3250" w:right="3135"/>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信誉要求</w:t>
            </w:r>
            <w:r>
              <w:rPr>
                <w:rFonts w:hint="default" w:ascii="Times New Roman" w:hAnsi="Times New Roman" w:eastAsia="宋体" w:cs="Times New Roman"/>
                <w:b/>
                <w:color w:val="auto"/>
                <w:w w:val="168"/>
                <w:sz w:val="24"/>
                <w:szCs w:val="24"/>
                <w:highlight w:val="none"/>
              </w:rPr>
              <w:t xml:space="preserve"> </w:t>
            </w:r>
          </w:p>
        </w:tc>
      </w:tr>
      <w:tr w14:paraId="45B46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3" w:hRule="atLeast"/>
        </w:trPr>
        <w:tc>
          <w:tcPr>
            <w:tcW w:w="5000" w:type="pct"/>
            <w:noWrap w:val="0"/>
            <w:vAlign w:val="top"/>
          </w:tcPr>
          <w:p w14:paraId="156B03AE">
            <w:pPr>
              <w:pStyle w:val="22"/>
              <w:spacing w:before="11"/>
              <w:rPr>
                <w:rFonts w:hint="default" w:ascii="Times New Roman" w:hAnsi="Times New Roman" w:eastAsia="宋体" w:cs="Times New Roman"/>
                <w:color w:val="auto"/>
                <w:sz w:val="24"/>
                <w:szCs w:val="24"/>
                <w:highlight w:val="none"/>
              </w:rPr>
            </w:pPr>
          </w:p>
          <w:p w14:paraId="624F0239">
            <w:pPr>
              <w:pStyle w:val="22"/>
              <w:spacing w:before="1" w:line="410" w:lineRule="auto"/>
              <w:ind w:left="107" w:right="94" w:firstLine="436"/>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rPr>
              <w:t>投标人未被合肥市及其所辖县</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市</w:t>
            </w:r>
            <w:r>
              <w:rPr>
                <w:rFonts w:hint="default" w:ascii="Times New Roman" w:hAnsi="Times New Roman" w:eastAsia="宋体" w:cs="Times New Roman"/>
                <w:color w:val="auto"/>
                <w:spacing w:val="-22"/>
                <w:sz w:val="24"/>
                <w:szCs w:val="24"/>
                <w:highlight w:val="none"/>
              </w:rPr>
              <w:t>）</w:t>
            </w:r>
            <w:r>
              <w:rPr>
                <w:rFonts w:hint="default" w:ascii="Times New Roman" w:hAnsi="Times New Roman" w:eastAsia="宋体" w:cs="Times New Roman"/>
                <w:color w:val="auto"/>
                <w:spacing w:val="-21"/>
                <w:sz w:val="24"/>
                <w:szCs w:val="24"/>
                <w:highlight w:val="none"/>
              </w:rPr>
              <w:t>、区</w:t>
            </w:r>
            <w:r>
              <w:rPr>
                <w:rFonts w:hint="default" w:ascii="Times New Roman" w:hAnsi="Times New Roman" w:eastAsia="宋体" w:cs="Times New Roman"/>
                <w:color w:val="auto"/>
                <w:spacing w:val="-3"/>
                <w:sz w:val="24"/>
                <w:szCs w:val="24"/>
                <w:highlight w:val="none"/>
              </w:rPr>
              <w:t>（开发区</w:t>
            </w:r>
            <w:r>
              <w:rPr>
                <w:rFonts w:hint="default" w:ascii="Times New Roman" w:hAnsi="Times New Roman" w:eastAsia="宋体" w:cs="Times New Roman"/>
                <w:color w:val="auto"/>
                <w:spacing w:val="-22"/>
                <w:sz w:val="24"/>
                <w:szCs w:val="24"/>
                <w:highlight w:val="none"/>
              </w:rPr>
              <w:t>）</w:t>
            </w:r>
            <w:r>
              <w:rPr>
                <w:rFonts w:hint="default" w:ascii="Times New Roman" w:hAnsi="Times New Roman" w:eastAsia="宋体" w:cs="Times New Roman"/>
                <w:color w:val="auto"/>
                <w:spacing w:val="-3"/>
                <w:sz w:val="24"/>
                <w:szCs w:val="24"/>
                <w:highlight w:val="none"/>
              </w:rPr>
              <w:t>公共资源交易监督管理部门</w:t>
            </w:r>
            <w:r>
              <w:rPr>
                <w:rFonts w:hint="default" w:ascii="Times New Roman" w:hAnsi="Times New Roman" w:eastAsia="宋体" w:cs="Times New Roman"/>
                <w:color w:val="auto"/>
                <w:spacing w:val="-8"/>
                <w:sz w:val="24"/>
                <w:szCs w:val="24"/>
                <w:highlight w:val="none"/>
              </w:rPr>
              <w:t>记不良行为记录的；或被记不良行为记录</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以公布日期为准</w:t>
            </w:r>
            <w:r>
              <w:rPr>
                <w:rFonts w:hint="default" w:ascii="Times New Roman" w:hAnsi="Times New Roman" w:eastAsia="宋体" w:cs="Times New Roman"/>
                <w:color w:val="auto"/>
                <w:spacing w:val="-24"/>
                <w:sz w:val="24"/>
                <w:szCs w:val="24"/>
                <w:highlight w:val="none"/>
              </w:rPr>
              <w:t>）</w:t>
            </w:r>
            <w:r>
              <w:rPr>
                <w:rFonts w:hint="default" w:ascii="Times New Roman" w:hAnsi="Times New Roman" w:eastAsia="宋体" w:cs="Times New Roman"/>
                <w:color w:val="auto"/>
                <w:spacing w:val="-6"/>
                <w:sz w:val="24"/>
                <w:szCs w:val="24"/>
                <w:highlight w:val="none"/>
              </w:rPr>
              <w:t>，但同时符合下列情形的：</w:t>
            </w:r>
          </w:p>
          <w:p w14:paraId="53776D39">
            <w:pPr>
              <w:pStyle w:val="22"/>
              <w:numPr>
                <w:ilvl w:val="0"/>
                <w:numId w:val="2"/>
              </w:numPr>
              <w:tabs>
                <w:tab w:val="left" w:pos="1074"/>
              </w:tabs>
              <w:spacing w:before="0"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pacing w:val="6"/>
                <w:sz w:val="24"/>
                <w:szCs w:val="24"/>
                <w:highlight w:val="none"/>
              </w:rPr>
              <w:t xml:space="preserve"> </w:t>
            </w:r>
            <w:r>
              <w:rPr>
                <w:rFonts w:hint="default" w:ascii="Times New Roman" w:hAnsi="Times New Roman" w:eastAsia="宋体" w:cs="Times New Roman"/>
                <w:color w:val="auto"/>
                <w:spacing w:val="-9"/>
                <w:sz w:val="24"/>
                <w:szCs w:val="24"/>
                <w:highlight w:val="none"/>
              </w:rPr>
              <w:t xml:space="preserve">个月内记分累计未满 </w:t>
            </w:r>
            <w:r>
              <w:rPr>
                <w:rFonts w:hint="default" w:ascii="Times New Roman" w:hAnsi="Times New Roman" w:eastAsia="宋体" w:cs="Times New Roman"/>
                <w:color w:val="auto"/>
                <w:sz w:val="24"/>
                <w:szCs w:val="24"/>
                <w:highlight w:val="none"/>
              </w:rPr>
              <w:t>10</w:t>
            </w:r>
            <w:r>
              <w:rPr>
                <w:rFonts w:hint="default" w:ascii="Times New Roman" w:hAnsi="Times New Roman" w:eastAsia="宋体" w:cs="Times New Roman"/>
                <w:color w:val="auto"/>
                <w:spacing w:val="3"/>
                <w:sz w:val="24"/>
                <w:szCs w:val="24"/>
                <w:highlight w:val="none"/>
              </w:rPr>
              <w:t xml:space="preserve"> </w:t>
            </w:r>
            <w:r>
              <w:rPr>
                <w:rFonts w:hint="default" w:ascii="Times New Roman" w:hAnsi="Times New Roman" w:eastAsia="宋体" w:cs="Times New Roman"/>
                <w:color w:val="auto"/>
                <w:sz w:val="24"/>
                <w:szCs w:val="24"/>
                <w:highlight w:val="none"/>
              </w:rPr>
              <w:t>分的；</w:t>
            </w:r>
          </w:p>
          <w:p w14:paraId="698506A9">
            <w:pPr>
              <w:pStyle w:val="22"/>
              <w:numPr>
                <w:ilvl w:val="0"/>
                <w:numId w:val="2"/>
              </w:numPr>
              <w:tabs>
                <w:tab w:val="left" w:pos="1074"/>
              </w:tabs>
              <w:spacing w:before="192"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）12</w:t>
            </w:r>
            <w:r>
              <w:rPr>
                <w:rFonts w:hint="default" w:ascii="Times New Roman" w:hAnsi="Times New Roman" w:eastAsia="宋体" w:cs="Times New Roman"/>
                <w:color w:val="auto"/>
                <w:spacing w:val="10"/>
                <w:sz w:val="24"/>
                <w:szCs w:val="24"/>
                <w:highlight w:val="none"/>
              </w:rPr>
              <w:t xml:space="preserve"> </w:t>
            </w:r>
            <w:r>
              <w:rPr>
                <w:rFonts w:hint="default" w:ascii="Times New Roman" w:hAnsi="Times New Roman" w:eastAsia="宋体" w:cs="Times New Roman"/>
                <w:color w:val="auto"/>
                <w:spacing w:val="-8"/>
                <w:sz w:val="24"/>
                <w:szCs w:val="24"/>
                <w:highlight w:val="none"/>
              </w:rPr>
              <w:t xml:space="preserve">个月内记分累计未满 </w:t>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pacing w:val="14"/>
                <w:sz w:val="24"/>
                <w:szCs w:val="24"/>
                <w:highlight w:val="none"/>
              </w:rPr>
              <w:t xml:space="preserve"> </w:t>
            </w:r>
            <w:r>
              <w:rPr>
                <w:rFonts w:hint="default" w:ascii="Times New Roman" w:hAnsi="Times New Roman" w:eastAsia="宋体" w:cs="Times New Roman"/>
                <w:color w:val="auto"/>
                <w:spacing w:val="-2"/>
                <w:sz w:val="24"/>
                <w:szCs w:val="24"/>
                <w:highlight w:val="none"/>
              </w:rPr>
              <w:t>分的；</w:t>
            </w:r>
          </w:p>
          <w:p w14:paraId="3236C1B4">
            <w:pPr>
              <w:pStyle w:val="22"/>
              <w:numPr>
                <w:ilvl w:val="0"/>
                <w:numId w:val="2"/>
              </w:numPr>
              <w:tabs>
                <w:tab w:val="left" w:pos="1074"/>
              </w:tabs>
              <w:spacing w:before="191"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）18</w:t>
            </w:r>
            <w:r>
              <w:rPr>
                <w:rFonts w:hint="default" w:ascii="Times New Roman" w:hAnsi="Times New Roman" w:eastAsia="宋体" w:cs="Times New Roman"/>
                <w:color w:val="auto"/>
                <w:spacing w:val="10"/>
                <w:sz w:val="24"/>
                <w:szCs w:val="24"/>
                <w:highlight w:val="none"/>
              </w:rPr>
              <w:t xml:space="preserve"> </w:t>
            </w:r>
            <w:r>
              <w:rPr>
                <w:rFonts w:hint="default" w:ascii="Times New Roman" w:hAnsi="Times New Roman" w:eastAsia="宋体" w:cs="Times New Roman"/>
                <w:color w:val="auto"/>
                <w:spacing w:val="-8"/>
                <w:sz w:val="24"/>
                <w:szCs w:val="24"/>
                <w:highlight w:val="none"/>
              </w:rPr>
              <w:t xml:space="preserve">个月内记分累计未满 </w:t>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pacing w:val="14"/>
                <w:sz w:val="24"/>
                <w:szCs w:val="24"/>
                <w:highlight w:val="none"/>
              </w:rPr>
              <w:t xml:space="preserve"> </w:t>
            </w:r>
            <w:r>
              <w:rPr>
                <w:rFonts w:hint="default" w:ascii="Times New Roman" w:hAnsi="Times New Roman" w:eastAsia="宋体" w:cs="Times New Roman"/>
                <w:color w:val="auto"/>
                <w:spacing w:val="-2"/>
                <w:sz w:val="24"/>
                <w:szCs w:val="24"/>
                <w:highlight w:val="none"/>
              </w:rPr>
              <w:t>分的；</w:t>
            </w:r>
          </w:p>
          <w:p w14:paraId="5E2A3F6B">
            <w:pPr>
              <w:pStyle w:val="22"/>
              <w:numPr>
                <w:ilvl w:val="0"/>
                <w:numId w:val="2"/>
              </w:numPr>
              <w:tabs>
                <w:tab w:val="left" w:pos="1074"/>
              </w:tabs>
              <w:spacing w:before="190"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）24</w:t>
            </w:r>
            <w:r>
              <w:rPr>
                <w:rFonts w:hint="default" w:ascii="Times New Roman" w:hAnsi="Times New Roman" w:eastAsia="宋体" w:cs="Times New Roman"/>
                <w:color w:val="auto"/>
                <w:spacing w:val="10"/>
                <w:sz w:val="24"/>
                <w:szCs w:val="24"/>
                <w:highlight w:val="none"/>
              </w:rPr>
              <w:t xml:space="preserve"> </w:t>
            </w:r>
            <w:r>
              <w:rPr>
                <w:rFonts w:hint="default" w:ascii="Times New Roman" w:hAnsi="Times New Roman" w:eastAsia="宋体" w:cs="Times New Roman"/>
                <w:color w:val="auto"/>
                <w:spacing w:val="-8"/>
                <w:sz w:val="24"/>
                <w:szCs w:val="24"/>
                <w:highlight w:val="none"/>
              </w:rPr>
              <w:t xml:space="preserve">个月内记分累计未满 </w:t>
            </w:r>
            <w:r>
              <w:rPr>
                <w:rFonts w:hint="default" w:ascii="Times New Roman" w:hAnsi="Times New Roman" w:eastAsia="宋体" w:cs="Times New Roman"/>
                <w:color w:val="auto"/>
                <w:sz w:val="24"/>
                <w:szCs w:val="24"/>
                <w:highlight w:val="none"/>
              </w:rPr>
              <w:t>25</w:t>
            </w:r>
            <w:r>
              <w:rPr>
                <w:rFonts w:hint="default" w:ascii="Times New Roman" w:hAnsi="Times New Roman" w:eastAsia="宋体" w:cs="Times New Roman"/>
                <w:color w:val="auto"/>
                <w:spacing w:val="14"/>
                <w:sz w:val="24"/>
                <w:szCs w:val="24"/>
                <w:highlight w:val="none"/>
              </w:rPr>
              <w:t xml:space="preserve"> </w:t>
            </w:r>
            <w:r>
              <w:rPr>
                <w:rFonts w:hint="default" w:ascii="Times New Roman" w:hAnsi="Times New Roman" w:eastAsia="宋体" w:cs="Times New Roman"/>
                <w:color w:val="auto"/>
                <w:spacing w:val="-2"/>
                <w:sz w:val="24"/>
                <w:szCs w:val="24"/>
                <w:highlight w:val="none"/>
              </w:rPr>
              <w:t>分的。</w:t>
            </w:r>
          </w:p>
        </w:tc>
      </w:tr>
    </w:tbl>
    <w:p w14:paraId="4872EF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682538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注：投标人在投标函中承诺，不需要提供相关证明材料。如投标人承诺与实际不符，将视为投标人弄虚作假。</w:t>
      </w:r>
    </w:p>
    <w:p w14:paraId="13FB0737">
      <w:pPr>
        <w:pStyle w:val="3"/>
        <w:spacing w:line="293" w:lineRule="exact"/>
        <w:ind w:left="320"/>
        <w:rPr>
          <w:rFonts w:hint="default" w:ascii="Times New Roman" w:hAnsi="Times New Roman" w:cs="Times New Roman"/>
          <w:color w:val="auto"/>
          <w:sz w:val="32"/>
          <w:highlight w:val="none"/>
        </w:rPr>
      </w:pPr>
    </w:p>
    <w:p w14:paraId="762A510C">
      <w:pPr>
        <w:rPr>
          <w:rFonts w:hint="default" w:ascii="Times New Roman" w:hAnsi="Times New Roman" w:cs="Times New Roman"/>
          <w:color w:val="auto"/>
        </w:rPr>
        <w:sectPr>
          <w:footerReference r:id="rId3" w:type="default"/>
          <w:pgSz w:w="12240" w:h="15840"/>
          <w:pgMar w:top="2098" w:right="1474" w:bottom="1701" w:left="1588" w:header="869" w:footer="922" w:gutter="0"/>
          <w:pgNumType w:fmt="decimal"/>
          <w:cols w:space="720" w:num="1"/>
        </w:sectPr>
      </w:pPr>
    </w:p>
    <w:p w14:paraId="6D1D0C35">
      <w:pPr>
        <w:pStyle w:val="4"/>
        <w:spacing w:before="107"/>
        <w:ind w:firstLine="964" w:firstLineChars="300"/>
        <w:jc w:val="center"/>
        <w:rPr>
          <w:rFonts w:hint="default" w:ascii="Times New Roman" w:hAnsi="Times New Roman" w:cs="Times New Roman"/>
          <w:color w:val="auto"/>
          <w:sz w:val="23"/>
          <w:highlight w:val="none"/>
        </w:rPr>
      </w:pPr>
      <w:bookmarkStart w:id="13" w:name="_bookmark7"/>
      <w:bookmarkEnd w:id="13"/>
      <w:bookmarkStart w:id="14" w:name="附录5  资格审查条件（项目负责人最低要求）"/>
      <w:bookmarkEnd w:id="14"/>
      <w:r>
        <w:rPr>
          <w:rFonts w:hint="default" w:ascii="Times New Roman" w:hAnsi="Times New Roman" w:cs="Times New Roman"/>
          <w:color w:val="auto"/>
          <w:highlight w:val="none"/>
        </w:rPr>
        <w:t>附录 5 资格审查条件（项目负责人最低要求）</w:t>
      </w:r>
    </w:p>
    <w:tbl>
      <w:tblPr>
        <w:tblStyle w:val="1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44"/>
        <w:gridCol w:w="6742"/>
      </w:tblGrid>
      <w:tr w14:paraId="69F24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330" w:type="pct"/>
            <w:noWrap w:val="0"/>
            <w:vAlign w:val="top"/>
          </w:tcPr>
          <w:p w14:paraId="6E59D463">
            <w:pPr>
              <w:pStyle w:val="22"/>
              <w:spacing w:before="138"/>
              <w:ind w:left="1000" w:right="886"/>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人员</w:t>
            </w:r>
            <w:r>
              <w:rPr>
                <w:rFonts w:hint="default" w:ascii="Times New Roman" w:hAnsi="Times New Roman" w:eastAsia="宋体" w:cs="Times New Roman"/>
                <w:b/>
                <w:color w:val="auto"/>
                <w:w w:val="168"/>
                <w:sz w:val="24"/>
                <w:szCs w:val="24"/>
                <w:highlight w:val="none"/>
              </w:rPr>
              <w:t xml:space="preserve"> </w:t>
            </w:r>
          </w:p>
        </w:tc>
        <w:tc>
          <w:tcPr>
            <w:tcW w:w="3669" w:type="pct"/>
            <w:noWrap w:val="0"/>
            <w:vAlign w:val="top"/>
          </w:tcPr>
          <w:p w14:paraId="3C98BF7D">
            <w:pPr>
              <w:pStyle w:val="22"/>
              <w:spacing w:before="138"/>
              <w:ind w:left="2861" w:right="2748"/>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资格要求</w:t>
            </w:r>
            <w:r>
              <w:rPr>
                <w:rFonts w:hint="default" w:ascii="Times New Roman" w:hAnsi="Times New Roman" w:eastAsia="宋体" w:cs="Times New Roman"/>
                <w:b/>
                <w:color w:val="auto"/>
                <w:w w:val="168"/>
                <w:sz w:val="24"/>
                <w:szCs w:val="24"/>
                <w:highlight w:val="none"/>
              </w:rPr>
              <w:t xml:space="preserve"> </w:t>
            </w:r>
          </w:p>
        </w:tc>
      </w:tr>
      <w:tr w14:paraId="7C04E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330" w:type="pct"/>
            <w:noWrap w:val="0"/>
            <w:vAlign w:val="top"/>
          </w:tcPr>
          <w:p w14:paraId="657A8311">
            <w:pPr>
              <w:pStyle w:val="22"/>
              <w:spacing w:before="3"/>
              <w:rPr>
                <w:rFonts w:hint="default" w:ascii="Times New Roman" w:hAnsi="Times New Roman" w:eastAsia="宋体" w:cs="Times New Roman"/>
                <w:color w:val="auto"/>
                <w:sz w:val="24"/>
                <w:szCs w:val="24"/>
                <w:highlight w:val="none"/>
              </w:rPr>
            </w:pPr>
          </w:p>
          <w:p w14:paraId="6952CA04">
            <w:pPr>
              <w:pStyle w:val="22"/>
              <w:ind w:left="65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w:t>
            </w:r>
          </w:p>
        </w:tc>
        <w:tc>
          <w:tcPr>
            <w:tcW w:w="3669" w:type="pct"/>
            <w:noWrap w:val="0"/>
            <w:vAlign w:val="top"/>
          </w:tcPr>
          <w:p w14:paraId="72EFB901">
            <w:pPr>
              <w:pStyle w:val="22"/>
              <w:numPr>
                <w:ilvl w:val="0"/>
                <w:numId w:val="0"/>
              </w:numPr>
              <w:tabs>
                <w:tab w:val="left" w:pos="638"/>
              </w:tabs>
              <w:spacing w:before="1" w:after="0" w:line="240" w:lineRule="auto"/>
              <w:ind w:left="637" w:leftChars="0" w:right="0" w:rightChars="0" w:hanging="530" w:firstLineChars="0"/>
              <w:jc w:val="left"/>
              <w:rPr>
                <w:rFonts w:hint="default" w:ascii="Times New Roman" w:hAnsi="Times New Roman" w:eastAsia="宋体" w:cs="Times New Roman"/>
                <w:color w:val="auto"/>
                <w:sz w:val="24"/>
                <w:szCs w:val="24"/>
                <w:highlight w:val="none"/>
              </w:rPr>
            </w:pPr>
            <w:r>
              <w:rPr>
                <w:rFonts w:hint="default" w:ascii="宋体" w:hAnsi="宋体" w:eastAsia="宋体" w:cs="宋体"/>
                <w:color w:val="auto"/>
                <w:spacing w:val="-3"/>
                <w:w w:val="100"/>
                <w:kern w:val="2"/>
                <w:sz w:val="19"/>
                <w:szCs w:val="19"/>
                <w:lang w:val="zh-CN" w:eastAsia="zh-CN" w:bidi="zh-CN"/>
              </w:rPr>
              <w:t>（1）</w:t>
            </w:r>
            <w:r>
              <w:rPr>
                <w:rFonts w:hint="default" w:ascii="Times New Roman" w:hAnsi="Times New Roman" w:eastAsia="宋体" w:cs="Times New Roman"/>
                <w:color w:val="auto"/>
                <w:spacing w:val="-3"/>
                <w:sz w:val="24"/>
                <w:szCs w:val="24"/>
                <w:highlight w:val="none"/>
              </w:rPr>
              <w:t>项目负责人资格条件见招标公告要求。</w:t>
            </w:r>
          </w:p>
          <w:p w14:paraId="700D3C44">
            <w:pPr>
              <w:pStyle w:val="22"/>
              <w:numPr>
                <w:ilvl w:val="0"/>
                <w:numId w:val="0"/>
              </w:numPr>
              <w:tabs>
                <w:tab w:val="left" w:pos="644"/>
              </w:tabs>
              <w:spacing w:before="2" w:after="0" w:line="240" w:lineRule="auto"/>
              <w:ind w:left="643" w:leftChars="0" w:right="0" w:rightChars="0" w:hanging="536" w:firstLineChars="0"/>
              <w:jc w:val="left"/>
              <w:rPr>
                <w:rFonts w:hint="default" w:ascii="Times New Roman" w:hAnsi="Times New Roman" w:eastAsia="宋体" w:cs="Times New Roman"/>
                <w:color w:val="auto"/>
                <w:sz w:val="24"/>
                <w:szCs w:val="24"/>
                <w:highlight w:val="none"/>
              </w:rPr>
            </w:pPr>
            <w:r>
              <w:rPr>
                <w:rFonts w:hint="default" w:ascii="宋体" w:hAnsi="宋体" w:eastAsia="宋体" w:cs="宋体"/>
                <w:color w:val="auto"/>
                <w:spacing w:val="-3"/>
                <w:w w:val="100"/>
                <w:kern w:val="2"/>
                <w:sz w:val="19"/>
                <w:szCs w:val="19"/>
                <w:lang w:val="zh-CN" w:eastAsia="zh-CN" w:bidi="zh-CN"/>
              </w:rPr>
              <w:t>（2）</w:t>
            </w:r>
            <w:r>
              <w:rPr>
                <w:rFonts w:hint="default" w:ascii="Times New Roman" w:hAnsi="Times New Roman" w:eastAsia="宋体" w:cs="Times New Roman"/>
                <w:color w:val="auto"/>
                <w:sz w:val="24"/>
                <w:szCs w:val="24"/>
                <w:highlight w:val="none"/>
              </w:rPr>
              <w:t>项目负责人必须是本单位人员招标公告中要求的注册证书注</w:t>
            </w:r>
          </w:p>
          <w:p w14:paraId="42F595F1">
            <w:pPr>
              <w:pStyle w:val="22"/>
              <w:spacing w:before="4" w:line="250" w:lineRule="exact"/>
              <w:ind w:left="10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册单位（如有）应当与投标人名称一致。</w:t>
            </w:r>
          </w:p>
        </w:tc>
      </w:tr>
    </w:tbl>
    <w:p w14:paraId="6983B9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651841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注：投标文件中提供项目负责人相关证书和社保证明材料扫描件。社保证明材料要求如下：</w:t>
      </w:r>
    </w:p>
    <w:p w14:paraId="325F3E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投标文件中须提供投标人所属社保机构出具的拟委派的项目负责人 202</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 xml:space="preserve"> 年 1 月 1 日以来任意连续三个月的社保缴费证明材料，项目负责人的社会保险的缴纳单位应当是投标人或者投标人不具备独立法人资格的分支机构。 </w:t>
      </w:r>
    </w:p>
    <w:p w14:paraId="2A554B56">
      <w:pPr>
        <w:pStyle w:val="7"/>
        <w:rPr>
          <w:rFonts w:hint="default" w:ascii="Times New Roman" w:hAnsi="Times New Roman" w:cs="Times New Roman"/>
          <w:color w:val="auto"/>
          <w:sz w:val="20"/>
          <w:highlight w:val="none"/>
        </w:rPr>
      </w:pPr>
    </w:p>
    <w:p w14:paraId="28CA4A16">
      <w:pPr>
        <w:spacing w:after="0"/>
        <w:rPr>
          <w:rFonts w:hint="default" w:ascii="Times New Roman" w:hAnsi="Times New Roman" w:cs="Times New Roman"/>
          <w:color w:val="auto"/>
          <w:highlight w:val="none"/>
        </w:rPr>
        <w:sectPr>
          <w:pgSz w:w="12240" w:h="15840"/>
          <w:pgMar w:top="2098" w:right="1474" w:bottom="1701" w:left="1588" w:header="869" w:footer="922" w:gutter="0"/>
          <w:pgNumType w:fmt="decimal"/>
          <w:cols w:space="720" w:num="1"/>
        </w:sectPr>
      </w:pPr>
      <w:r>
        <w:rPr>
          <w:rFonts w:hint="eastAsia" w:ascii="Times New Roman" w:hAnsi="Times New Roman"/>
          <w:b w:val="0"/>
          <w:kern w:val="0"/>
        </w:rPr>
        <w:br w:type="page"/>
      </w:r>
    </w:p>
    <w:p w14:paraId="2B39E84F">
      <w:pPr>
        <w:pStyle w:val="4"/>
        <w:ind w:firstLine="1928" w:firstLineChars="600"/>
        <w:rPr>
          <w:rFonts w:hint="default" w:ascii="Times New Roman" w:hAnsi="Times New Roman" w:eastAsia="微软雅黑" w:cs="Times New Roman"/>
          <w:b/>
          <w:color w:val="auto"/>
          <w:highlight w:val="none"/>
        </w:rPr>
      </w:pPr>
      <w:bookmarkStart w:id="15" w:name="_bookmark9"/>
      <w:bookmarkEnd w:id="15"/>
      <w:bookmarkStart w:id="16" w:name="附录7  资格审查条件（其他要求）"/>
      <w:bookmarkEnd w:id="16"/>
      <w:r>
        <w:rPr>
          <w:rFonts w:hint="default" w:ascii="Times New Roman" w:hAnsi="Times New Roman" w:cs="Times New Roman"/>
          <w:color w:val="auto"/>
          <w:highlight w:val="none"/>
        </w:rPr>
        <w:t xml:space="preserve">附录 </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 资格审查条件（其他要求）</w:t>
      </w:r>
    </w:p>
    <w:p w14:paraId="307BDC7E">
      <w:pPr>
        <w:pStyle w:val="7"/>
        <w:spacing w:before="2"/>
        <w:rPr>
          <w:rFonts w:hint="default" w:ascii="Times New Roman" w:hAnsi="Times New Roman" w:cs="Times New Roman"/>
          <w:b/>
          <w:color w:val="auto"/>
          <w:sz w:val="28"/>
          <w:highlight w:val="none"/>
        </w:rPr>
      </w:pPr>
      <w:r>
        <w:rPr>
          <w:rFonts w:hint="default" w:ascii="Times New Roman" w:hAnsi="Times New Roman" w:cs="Times New Roman"/>
          <w:color w:val="auto"/>
          <w:highlight w:val="none"/>
        </w:rPr>
        <mc:AlternateContent>
          <mc:Choice Requires="wpg">
            <w:drawing>
              <wp:anchor distT="0" distB="0" distL="114300" distR="114300" simplePos="0" relativeHeight="251660288" behindDoc="1" locked="0" layoutInCell="1" allowOverlap="1">
                <wp:simplePos x="0" y="0"/>
                <wp:positionH relativeFrom="page">
                  <wp:posOffset>1071245</wp:posOffset>
                </wp:positionH>
                <wp:positionV relativeFrom="paragraph">
                  <wp:posOffset>356870</wp:posOffset>
                </wp:positionV>
                <wp:extent cx="5631180" cy="1117600"/>
                <wp:effectExtent l="1905" t="1905" r="5715" b="10795"/>
                <wp:wrapTopAndBottom/>
                <wp:docPr id="205" name="组合 205"/>
                <wp:cNvGraphicFramePr/>
                <a:graphic xmlns:a="http://schemas.openxmlformats.org/drawingml/2006/main">
                  <a:graphicData uri="http://schemas.microsoft.com/office/word/2010/wordprocessingGroup">
                    <wpg:wgp>
                      <wpg:cNvGrpSpPr/>
                      <wpg:grpSpPr>
                        <a:xfrm>
                          <a:off x="0" y="0"/>
                          <a:ext cx="5631180" cy="1117600"/>
                          <a:chOff x="1688" y="563"/>
                          <a:chExt cx="8868" cy="1760"/>
                        </a:xfrm>
                        <a:effectLst/>
                      </wpg:grpSpPr>
                      <wps:wsp>
                        <wps:cNvPr id="199" name="直线 7"/>
                        <wps:cNvCnPr/>
                        <wps:spPr>
                          <a:xfrm>
                            <a:off x="1697" y="567"/>
                            <a:ext cx="8848" cy="0"/>
                          </a:xfrm>
                          <a:prstGeom prst="line">
                            <a:avLst/>
                          </a:prstGeom>
                          <a:ln w="6096" cap="flat" cmpd="sng">
                            <a:solidFill>
                              <a:srgbClr val="000000"/>
                            </a:solidFill>
                            <a:prstDash val="solid"/>
                            <a:headEnd type="none" w="med" len="med"/>
                            <a:tailEnd type="none" w="med" len="med"/>
                          </a:ln>
                          <a:effectLst/>
                        </wps:spPr>
                        <wps:bodyPr upright="1"/>
                      </wps:wsp>
                      <wps:wsp>
                        <wps:cNvPr id="200" name="直线 8"/>
                        <wps:cNvCnPr/>
                        <wps:spPr>
                          <a:xfrm>
                            <a:off x="1697" y="1256"/>
                            <a:ext cx="8848" cy="0"/>
                          </a:xfrm>
                          <a:prstGeom prst="line">
                            <a:avLst/>
                          </a:prstGeom>
                          <a:ln w="6096" cap="flat" cmpd="sng">
                            <a:solidFill>
                              <a:srgbClr val="000000"/>
                            </a:solidFill>
                            <a:prstDash val="solid"/>
                            <a:headEnd type="none" w="med" len="med"/>
                            <a:tailEnd type="none" w="med" len="med"/>
                          </a:ln>
                          <a:effectLst/>
                        </wps:spPr>
                        <wps:bodyPr upright="1"/>
                      </wps:wsp>
                      <wps:wsp>
                        <wps:cNvPr id="201" name="直线 9"/>
                        <wps:cNvCnPr/>
                        <wps:spPr>
                          <a:xfrm>
                            <a:off x="1692" y="563"/>
                            <a:ext cx="0" cy="1759"/>
                          </a:xfrm>
                          <a:prstGeom prst="line">
                            <a:avLst/>
                          </a:prstGeom>
                          <a:ln w="6096" cap="flat" cmpd="sng">
                            <a:solidFill>
                              <a:srgbClr val="000000"/>
                            </a:solidFill>
                            <a:prstDash val="solid"/>
                            <a:headEnd type="none" w="med" len="med"/>
                            <a:tailEnd type="none" w="med" len="med"/>
                          </a:ln>
                          <a:effectLst/>
                        </wps:spPr>
                        <wps:bodyPr upright="1"/>
                      </wps:wsp>
                      <wps:wsp>
                        <wps:cNvPr id="202" name="直线 10"/>
                        <wps:cNvCnPr/>
                        <wps:spPr>
                          <a:xfrm>
                            <a:off x="1697" y="2317"/>
                            <a:ext cx="8848" cy="0"/>
                          </a:xfrm>
                          <a:prstGeom prst="line">
                            <a:avLst/>
                          </a:prstGeom>
                          <a:ln w="6096" cap="flat" cmpd="sng">
                            <a:solidFill>
                              <a:srgbClr val="000000"/>
                            </a:solidFill>
                            <a:prstDash val="solid"/>
                            <a:headEnd type="none" w="med" len="med"/>
                            <a:tailEnd type="none" w="med" len="med"/>
                          </a:ln>
                          <a:effectLst/>
                        </wps:spPr>
                        <wps:bodyPr upright="1"/>
                      </wps:wsp>
                      <wps:wsp>
                        <wps:cNvPr id="203" name="直线 11"/>
                        <wps:cNvCnPr/>
                        <wps:spPr>
                          <a:xfrm>
                            <a:off x="10550" y="563"/>
                            <a:ext cx="0" cy="1759"/>
                          </a:xfrm>
                          <a:prstGeom prst="line">
                            <a:avLst/>
                          </a:prstGeom>
                          <a:ln w="6097" cap="flat" cmpd="sng">
                            <a:solidFill>
                              <a:srgbClr val="000000"/>
                            </a:solidFill>
                            <a:prstDash val="solid"/>
                            <a:headEnd type="none" w="med" len="med"/>
                            <a:tailEnd type="none" w="med" len="med"/>
                          </a:ln>
                          <a:effectLst/>
                        </wps:spPr>
                        <wps:bodyPr upright="1"/>
                      </wps:wsp>
                      <wps:wsp>
                        <wps:cNvPr id="204" name="文本框 12"/>
                        <wps:cNvSpPr txBox="1"/>
                        <wps:spPr>
                          <a:xfrm>
                            <a:off x="5698" y="805"/>
                            <a:ext cx="969" cy="212"/>
                          </a:xfrm>
                          <a:prstGeom prst="rect">
                            <a:avLst/>
                          </a:prstGeom>
                          <a:noFill/>
                          <a:ln>
                            <a:noFill/>
                          </a:ln>
                          <a:effectLst/>
                        </wps:spPr>
                        <wps:txbx>
                          <w:txbxContent>
                            <w:p w14:paraId="7D9493BF">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p>
                          </w:txbxContent>
                        </wps:txbx>
                        <wps:bodyPr lIns="0" tIns="0" rIns="0" bIns="0" upright="1"/>
                      </wps:wsp>
                    </wpg:wgp>
                  </a:graphicData>
                </a:graphic>
              </wp:anchor>
            </w:drawing>
          </mc:Choice>
          <mc:Fallback>
            <w:pict>
              <v:group id="_x0000_s1026" o:spid="_x0000_s1026" o:spt="203" style="position:absolute;left:0pt;margin-left:84.35pt;margin-top:28.1pt;height:88pt;width:443.4pt;mso-position-horizontal-relative:page;mso-wrap-distance-bottom:0pt;mso-wrap-distance-top:0pt;z-index:-251656192;mso-width-relative:page;mso-height-relative:page;" coordorigin="1688,563" coordsize="8868,1760" o:gfxdata="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AysLHp2gAAAAsBAAAPAAAAAAAAAAEAIAAAACIAAABkcnMv&#10;ZG93bnJldi54bWxQSwECFAAUAAAACACHTuJAI/OHlFcDAAATDwAADgAAAAAAAAABACAAAAApAQAA&#10;ZHJzL2Uyb0RvYy54bWxQSwUGAAAAAAYABgBZAQAA8gYAAAAA&#10;">
                <o:lock v:ext="edit" aspectratio="f"/>
                <v:line id="直线 7" o:spid="_x0000_s1026" o:spt="20" style="position:absolute;left:1697;top:567;height:0;width:8848;" filled="f" stroked="t" coordsize="21600,21600" o:gfxdata="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2nEY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8" o:spid="_x0000_s1026" o:spt="20" style="position:absolute;left:1697;top:1256;height:0;width:8848;" filled="f" stroked="t" coordsize="21600,21600" o:gfxdata="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JkF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 o:spid="_x0000_s1026" o:spt="20" style="position:absolute;left:1692;top:563;height:1759;width:0;" filled="f" stroked="t" coordsize="21600,21600" o:gfxdata="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A8nr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0" o:spid="_x0000_s1026" o:spt="20" style="position:absolute;left:1697;top:2317;height:0;width:8848;" filled="f" stroked="t" coordsize="21600,21600" o:gfxdata="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Ki6b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1" o:spid="_x0000_s1026" o:spt="20" style="position:absolute;left:10550;top:563;height:1759;width:0;" filled="f" stroked="t" coordsize="21600,21600" o:gfxdata="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7WwKvQAA&#10;ANw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shape id="文本框 12" o:spid="_x0000_s1026" o:spt="202" type="#_x0000_t202" style="position:absolute;left:5698;top:805;height:212;width:969;" filled="f" stroked="f" coordsize="21600,21600" o:gfxdata="UEsDBAoAAAAAAIdO4kAAAAAAAAAAAAAAAAAEAAAAZHJzL1BLAwQUAAAACACHTuJAA54xHb4AAADc&#10;AAAADwAAAGRycy9kb3ducmV2LnhtbEWPT2sCMRTE7wW/Q3hCbzVRi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4x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D9493BF">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p>
                    </w:txbxContent>
                  </v:textbox>
                </v:shape>
                <w10:wrap type="topAndBottom"/>
              </v:group>
            </w:pict>
          </mc:Fallback>
        </mc:AlternateContent>
      </w:r>
    </w:p>
    <w:p w14:paraId="48BDDDD5">
      <w:pPr>
        <w:pStyle w:val="7"/>
        <w:spacing w:line="236" w:lineRule="exact"/>
        <w:rPr>
          <w:rFonts w:hint="default" w:ascii="Times New Roman" w:hAnsi="Times New Roman" w:cs="Times New Roman"/>
          <w:color w:val="auto"/>
          <w:highlight w:val="none"/>
        </w:rPr>
      </w:pPr>
      <w:bookmarkStart w:id="17" w:name="附录6  资格审查条件（其他主要人员最低要求）"/>
      <w:bookmarkEnd w:id="17"/>
      <w:bookmarkStart w:id="18" w:name="_bookmark8"/>
      <w:bookmarkEnd w:id="18"/>
    </w:p>
    <w:p w14:paraId="4272A1D0">
      <w:pPr>
        <w:spacing w:line="360" w:lineRule="auto"/>
        <w:jc w:val="both"/>
        <w:outlineLvl w:val="2"/>
        <w:rPr>
          <w:rFonts w:hint="default" w:ascii="Times New Roman" w:hAnsi="Times New Roman" w:eastAsia="宋体" w:cs="Times New Roman"/>
          <w:b/>
          <w:color w:val="auto"/>
          <w:sz w:val="24"/>
          <w:highlight w:val="none"/>
        </w:rPr>
      </w:pPr>
    </w:p>
    <w:p w14:paraId="4A890BEC">
      <w:pPr>
        <w:spacing w:line="360" w:lineRule="auto"/>
        <w:jc w:val="both"/>
        <w:outlineLvl w:val="2"/>
        <w:rPr>
          <w:rFonts w:hint="default" w:ascii="Times New Roman" w:hAnsi="Times New Roman" w:eastAsia="宋体" w:cs="Times New Roman"/>
          <w:b/>
          <w:color w:val="auto"/>
          <w:sz w:val="24"/>
          <w:highlight w:val="none"/>
        </w:rPr>
      </w:pPr>
    </w:p>
    <w:p w14:paraId="5AE56648">
      <w:pPr>
        <w:spacing w:line="360" w:lineRule="auto"/>
        <w:jc w:val="both"/>
        <w:outlineLvl w:val="2"/>
        <w:rPr>
          <w:rFonts w:hint="default" w:ascii="Times New Roman" w:hAnsi="Times New Roman" w:eastAsia="宋体" w:cs="Times New Roman"/>
          <w:b/>
          <w:color w:val="auto"/>
          <w:sz w:val="24"/>
          <w:highlight w:val="none"/>
        </w:rPr>
      </w:pPr>
    </w:p>
    <w:p w14:paraId="61EB8FC9">
      <w:pPr>
        <w:spacing w:line="360" w:lineRule="auto"/>
        <w:jc w:val="center"/>
        <w:outlineLvl w:val="1"/>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4"/>
          <w:highlight w:val="none"/>
        </w:rPr>
        <w:br w:type="page"/>
      </w:r>
      <w:r>
        <w:rPr>
          <w:rFonts w:hint="default" w:ascii="Times New Roman" w:hAnsi="Times New Roman" w:eastAsia="宋体" w:cs="Times New Roman"/>
          <w:b/>
          <w:color w:val="auto"/>
          <w:sz w:val="28"/>
          <w:highlight w:val="none"/>
        </w:rPr>
        <w:t>第</w:t>
      </w:r>
      <w:r>
        <w:rPr>
          <w:rFonts w:hint="default" w:ascii="Times New Roman" w:hAnsi="Times New Roman" w:eastAsia="宋体" w:cs="Times New Roman"/>
          <w:b/>
          <w:color w:val="auto"/>
          <w:sz w:val="28"/>
          <w:highlight w:val="none"/>
          <w:lang w:val="en-US" w:eastAsia="zh-CN"/>
        </w:rPr>
        <w:t>二</w:t>
      </w:r>
      <w:r>
        <w:rPr>
          <w:rFonts w:hint="default" w:ascii="Times New Roman" w:hAnsi="Times New Roman" w:eastAsia="宋体" w:cs="Times New Roman"/>
          <w:b/>
          <w:color w:val="auto"/>
          <w:sz w:val="28"/>
          <w:highlight w:val="none"/>
        </w:rPr>
        <w:t>章  投标人须知</w:t>
      </w:r>
    </w:p>
    <w:p w14:paraId="4586D47B">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二、投标人须知正文</w:t>
      </w:r>
    </w:p>
    <w:p w14:paraId="063FB500">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1.适用范围</w:t>
      </w:r>
    </w:p>
    <w:p w14:paraId="3C8C88E2">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rPr>
        <w:t>1.1本招标文件仅适用于本次公开招标所述的</w:t>
      </w:r>
      <w:r>
        <w:rPr>
          <w:rFonts w:hint="eastAsia" w:ascii="Times New Roman" w:hAnsi="Times New Roman" w:eastAsia="宋体" w:cs="Times New Roman"/>
          <w:color w:val="auto"/>
          <w:sz w:val="24"/>
          <w:highlight w:val="none"/>
          <w:lang w:val="en-US" w:eastAsia="zh-CN"/>
        </w:rPr>
        <w:t>世纪南书房装修改造工程。</w:t>
      </w:r>
    </w:p>
    <w:p w14:paraId="5BD3841A">
      <w:pPr>
        <w:keepNext w:val="0"/>
        <w:keepLines w:val="0"/>
        <w:pageBreakBefore w:val="0"/>
        <w:widowControl w:val="0"/>
        <w:kinsoku/>
        <w:wordWrap/>
        <w:overflowPunct/>
        <w:topLinePunct w:val="0"/>
        <w:bidi w:val="0"/>
        <w:spacing w:line="360" w:lineRule="auto"/>
        <w:ind w:firstLine="482" w:firstLineChars="200"/>
        <w:textAlignment w:val="auto"/>
        <w:outlineLvl w:val="3"/>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rPr>
        <w:t>2.定义</w:t>
      </w:r>
    </w:p>
    <w:p w14:paraId="49FA8C2A">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时限（年份、月份等）计算：系指从开标之日向前追溯X年/月（“X”为“一”及以后整数）起算。</w:t>
      </w:r>
    </w:p>
    <w:p w14:paraId="3DB9AAB5">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业绩：业绩</w:t>
      </w:r>
      <w:r>
        <w:rPr>
          <w:rFonts w:hint="default" w:ascii="Times New Roman" w:hAnsi="Times New Roman" w:eastAsia="宋体" w:cs="Times New Roman"/>
          <w:color w:val="auto"/>
          <w:sz w:val="24"/>
          <w:highlight w:val="none"/>
          <w:lang w:val="en-US" w:eastAsia="zh-CN"/>
        </w:rPr>
        <w:t>要求见</w:t>
      </w:r>
      <w:r>
        <w:rPr>
          <w:rFonts w:hint="default" w:ascii="Times New Roman" w:hAnsi="Times New Roman" w:eastAsia="宋体" w:cs="Times New Roman"/>
          <w:color w:val="auto"/>
          <w:sz w:val="24"/>
          <w:highlight w:val="none"/>
        </w:rPr>
        <w:t>投标邀请（招标公告）。</w:t>
      </w:r>
    </w:p>
    <w:p w14:paraId="65EAF3B8">
      <w:pPr>
        <w:keepNext w:val="0"/>
        <w:keepLines w:val="0"/>
        <w:pageBreakBefore w:val="0"/>
        <w:widowControl w:val="0"/>
        <w:kinsoku/>
        <w:wordWrap/>
        <w:overflowPunct/>
        <w:topLinePunct w:val="0"/>
        <w:bidi w:val="0"/>
        <w:spacing w:line="360" w:lineRule="auto"/>
        <w:ind w:firstLine="482" w:firstLineChars="200"/>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招标人</w:t>
      </w:r>
      <w:r>
        <w:rPr>
          <w:rFonts w:hint="default" w:ascii="Times New Roman" w:hAnsi="Times New Roman" w:eastAsia="宋体" w:cs="Times New Roman"/>
          <w:b/>
          <w:color w:val="auto"/>
          <w:sz w:val="24"/>
          <w:highlight w:val="none"/>
        </w:rPr>
        <w:t>及投标人</w:t>
      </w:r>
    </w:p>
    <w:p w14:paraId="30165965">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14:paraId="263078E4">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投标人：见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14:paraId="6B9FE464">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在中华人民共和国境内注册，能够独立承担民事责任，有生产或供应能力的本国投标人。</w:t>
      </w:r>
    </w:p>
    <w:p w14:paraId="6C3510F2">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单位负责人为同一人或者存在直接控股、管理关系的不同投标人，不得参加同一合同项下的采购活动。否则其投标将被认定为</w:t>
      </w:r>
      <w:r>
        <w:rPr>
          <w:rFonts w:hint="default" w:ascii="Times New Roman" w:hAnsi="Times New Roman" w:eastAsia="宋体" w:cs="Times New Roman"/>
          <w:b/>
          <w:bCs/>
          <w:color w:val="auto"/>
          <w:sz w:val="24"/>
          <w:highlight w:val="none"/>
        </w:rPr>
        <w:t>投标无效</w:t>
      </w:r>
      <w:r>
        <w:rPr>
          <w:rFonts w:hint="default" w:ascii="Times New Roman" w:hAnsi="Times New Roman" w:eastAsia="宋体" w:cs="Times New Roman"/>
          <w:color w:val="auto"/>
          <w:sz w:val="24"/>
          <w:highlight w:val="none"/>
        </w:rPr>
        <w:t>。</w:t>
      </w:r>
    </w:p>
    <w:p w14:paraId="34CE1D54">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为本项目提供过整体设计、规范编制或者项目管理、监理、检测等服务的投标人，不得再参加本项目上述服务以外的其他采购活动。</w:t>
      </w:r>
      <w:bookmarkStart w:id="19" w:name="_Hlk13431092"/>
      <w:r>
        <w:rPr>
          <w:rFonts w:hint="default" w:ascii="Times New Roman" w:hAnsi="Times New Roman" w:eastAsia="宋体" w:cs="Times New Roman"/>
          <w:color w:val="auto"/>
          <w:sz w:val="24"/>
          <w:highlight w:val="none"/>
        </w:rPr>
        <w:t>否则其投标将被认定为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bookmarkEnd w:id="19"/>
    </w:p>
    <w:p w14:paraId="695A224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4.资金来源</w:t>
      </w:r>
    </w:p>
    <w:p w14:paraId="158A8E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已获得足以支付本次招标后所签订的合同项下的资金。</w:t>
      </w:r>
    </w:p>
    <w:p w14:paraId="1F2977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bookmarkStart w:id="20" w:name="_Hlk11702998"/>
      <w:r>
        <w:rPr>
          <w:rFonts w:hint="default" w:ascii="Times New Roman" w:hAnsi="Times New Roman" w:eastAsia="宋体" w:cs="Times New Roman"/>
          <w:color w:val="auto"/>
          <w:sz w:val="24"/>
          <w:highlight w:val="none"/>
        </w:rPr>
        <w:t>4.2项目预算金额和分项（或分包）最高限价见</w:t>
      </w:r>
      <w:r>
        <w:rPr>
          <w:rFonts w:hint="default" w:ascii="Times New Roman" w:hAnsi="Times New Roman" w:eastAsia="宋体" w:cs="Times New Roman"/>
          <w:color w:val="auto"/>
          <w:sz w:val="24"/>
          <w:highlight w:val="none"/>
          <w:u w:val="single"/>
        </w:rPr>
        <w:t>投标邀请</w:t>
      </w:r>
      <w:r>
        <w:rPr>
          <w:rFonts w:hint="default" w:ascii="Times New Roman" w:hAnsi="Times New Roman" w:eastAsia="宋体" w:cs="Times New Roman"/>
          <w:color w:val="auto"/>
          <w:sz w:val="24"/>
          <w:highlight w:val="none"/>
        </w:rPr>
        <w:t>。</w:t>
      </w:r>
    </w:p>
    <w:p w14:paraId="0E9CCB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4.3资金来源：详见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bookmarkEnd w:id="20"/>
    <w:p w14:paraId="43B114F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5.投标费用</w:t>
      </w:r>
    </w:p>
    <w:p w14:paraId="168B5E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不论投标的结果如何，投标人应承担所有与准备和参加投标有关的费用。</w:t>
      </w:r>
    </w:p>
    <w:p w14:paraId="7B5738C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6.适用法律</w:t>
      </w:r>
    </w:p>
    <w:p w14:paraId="34201B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本项目不属于政府采购项目，本项目</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、投标人、评标委员会的相关行为和权利受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有关规定及本项目招标文件的约束和保护。</w:t>
      </w:r>
    </w:p>
    <w:p w14:paraId="1C4248D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7.招标文件构成</w:t>
      </w:r>
    </w:p>
    <w:p w14:paraId="606B9F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7.1招标文件包括下列内容：</w:t>
      </w:r>
    </w:p>
    <w:p w14:paraId="43EBA1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第一章  投标邀请（招标公告）</w:t>
      </w:r>
    </w:p>
    <w:p w14:paraId="7D9226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第二章  投标人须知</w:t>
      </w:r>
    </w:p>
    <w:p w14:paraId="3198AF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 xml:space="preserve">第三章  </w:t>
      </w:r>
      <w:r>
        <w:rPr>
          <w:rFonts w:hint="eastAsia" w:ascii="Times New Roman" w:hAnsi="Times New Roman" w:eastAsia="宋体" w:cs="Times New Roman"/>
          <w:color w:val="auto"/>
          <w:sz w:val="24"/>
          <w:highlight w:val="none"/>
          <w:lang w:val="en-US" w:eastAsia="zh-CN"/>
        </w:rPr>
        <w:t>评标方法</w:t>
      </w:r>
    </w:p>
    <w:p w14:paraId="656EFB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第</w:t>
      </w:r>
      <w:r>
        <w:rPr>
          <w:rFonts w:hint="default" w:ascii="Times New Roman" w:hAnsi="Times New Roman" w:eastAsia="宋体" w:cs="Times New Roman"/>
          <w:color w:val="auto"/>
          <w:sz w:val="24"/>
          <w:highlight w:val="none"/>
          <w:lang w:val="en-US" w:eastAsia="zh-CN"/>
        </w:rPr>
        <w:t>四</w:t>
      </w:r>
      <w:r>
        <w:rPr>
          <w:rFonts w:hint="default" w:ascii="Times New Roman" w:hAnsi="Times New Roman" w:eastAsia="宋体" w:cs="Times New Roman"/>
          <w:color w:val="auto"/>
          <w:sz w:val="24"/>
          <w:highlight w:val="none"/>
        </w:rPr>
        <w:t xml:space="preserve">章  </w:t>
      </w:r>
      <w:r>
        <w:rPr>
          <w:rFonts w:hint="eastAsia" w:ascii="Times New Roman" w:hAnsi="Times New Roman" w:eastAsia="宋体" w:cs="Times New Roman"/>
          <w:color w:val="auto"/>
          <w:sz w:val="24"/>
          <w:highlight w:val="none"/>
          <w:lang w:val="en-US" w:eastAsia="zh-CN"/>
        </w:rPr>
        <w:t>合同条款</w:t>
      </w:r>
    </w:p>
    <w:p w14:paraId="137ED5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第</w:t>
      </w:r>
      <w:r>
        <w:rPr>
          <w:rFonts w:hint="default" w:ascii="Times New Roman" w:hAnsi="Times New Roman" w:eastAsia="宋体" w:cs="Times New Roman"/>
          <w:color w:val="auto"/>
          <w:sz w:val="24"/>
          <w:highlight w:val="none"/>
          <w:lang w:val="en-US" w:eastAsia="zh-CN"/>
        </w:rPr>
        <w:t>五</w:t>
      </w:r>
      <w:r>
        <w:rPr>
          <w:rFonts w:hint="default" w:ascii="Times New Roman" w:hAnsi="Times New Roman" w:eastAsia="宋体" w:cs="Times New Roman"/>
          <w:color w:val="auto"/>
          <w:sz w:val="24"/>
          <w:highlight w:val="none"/>
        </w:rPr>
        <w:t xml:space="preserve">章  </w:t>
      </w:r>
      <w:r>
        <w:rPr>
          <w:rFonts w:hint="eastAsia" w:ascii="Times New Roman" w:hAnsi="Times New Roman" w:eastAsia="宋体" w:cs="Times New Roman"/>
          <w:color w:val="auto"/>
          <w:sz w:val="24"/>
          <w:highlight w:val="none"/>
          <w:lang w:val="en-US" w:eastAsia="zh-CN"/>
        </w:rPr>
        <w:t>工作量清单</w:t>
      </w:r>
    </w:p>
    <w:p w14:paraId="59EBC1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第</w:t>
      </w:r>
      <w:r>
        <w:rPr>
          <w:rFonts w:hint="default" w:ascii="Times New Roman" w:hAnsi="Times New Roman" w:eastAsia="宋体" w:cs="Times New Roman"/>
          <w:color w:val="auto"/>
          <w:sz w:val="24"/>
          <w:highlight w:val="none"/>
          <w:lang w:val="en-US" w:eastAsia="zh-CN"/>
        </w:rPr>
        <w:t>六</w:t>
      </w:r>
      <w:r>
        <w:rPr>
          <w:rFonts w:hint="default" w:ascii="Times New Roman" w:hAnsi="Times New Roman" w:eastAsia="宋体" w:cs="Times New Roman"/>
          <w:color w:val="auto"/>
          <w:sz w:val="24"/>
          <w:highlight w:val="none"/>
        </w:rPr>
        <w:t xml:space="preserve">章  </w:t>
      </w:r>
      <w:r>
        <w:rPr>
          <w:rFonts w:hint="eastAsia" w:ascii="Times New Roman" w:hAnsi="Times New Roman" w:eastAsia="宋体" w:cs="Times New Roman"/>
          <w:color w:val="auto"/>
          <w:sz w:val="24"/>
          <w:highlight w:val="none"/>
          <w:lang w:val="en-US" w:eastAsia="zh-CN"/>
        </w:rPr>
        <w:t>图纸</w:t>
      </w:r>
    </w:p>
    <w:p w14:paraId="46DAA1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第七章  技术标准和要求</w:t>
      </w:r>
    </w:p>
    <w:p w14:paraId="16A7D7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第八章  投标文件格式</w:t>
      </w:r>
    </w:p>
    <w:p w14:paraId="2AD37F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7.2招标文件中有不一致的，有澄清的部分以最终的澄清更正内容为准。</w:t>
      </w:r>
    </w:p>
    <w:p w14:paraId="06971C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7.3现场考察及相关事项见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14:paraId="755B0B6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8.招标文件的澄清与修改</w:t>
      </w:r>
    </w:p>
    <w:p w14:paraId="790CAA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8.1投标人如对招标文件内容有疑问，应以书面形式（如传真、邮件等）通知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对需要做出澄清的问题，以澄清和修改通知的方式予以答复。</w:t>
      </w:r>
    </w:p>
    <w:p w14:paraId="3AD77A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8.2</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可主动或在解答投标人提出的问题时对招标文件进行澄清或者修改。</w:t>
      </w:r>
    </w:p>
    <w:p w14:paraId="52124E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8.3任何人或任何组织向投标人提供的任何书面或口头资料，未经</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在网上发布或书面通知，均作无效处理，不得作为招标文件的组成部分。</w:t>
      </w:r>
    </w:p>
    <w:p w14:paraId="4038C2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i/>
          <w:iCs/>
          <w:color w:val="auto"/>
          <w:sz w:val="24"/>
          <w:highlight w:val="none"/>
        </w:rPr>
      </w:pPr>
      <w:r>
        <w:rPr>
          <w:rFonts w:hint="default" w:ascii="Times New Roman" w:hAnsi="Times New Roman" w:eastAsia="宋体" w:cs="Times New Roman"/>
          <w:color w:val="auto"/>
          <w:sz w:val="24"/>
          <w:highlight w:val="none"/>
        </w:rPr>
        <w:t>8.4对于没有提出疑问又参与了本项目投标的投标人将被视为完全认同本招标文件（含更正公告的内容）</w:t>
      </w:r>
      <w:r>
        <w:rPr>
          <w:rFonts w:hint="default" w:ascii="Times New Roman" w:hAnsi="Times New Roman" w:eastAsia="宋体" w:cs="Times New Roman"/>
          <w:i/>
          <w:color w:val="auto"/>
          <w:sz w:val="24"/>
          <w:highlight w:val="none"/>
        </w:rPr>
        <w:t>。</w:t>
      </w:r>
    </w:p>
    <w:p w14:paraId="03C8EA3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9.投标范围及投标文件中标准</w:t>
      </w:r>
    </w:p>
    <w:p w14:paraId="62731D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9.1项目</w:t>
      </w:r>
      <w:r>
        <w:rPr>
          <w:rFonts w:hint="default" w:ascii="Times New Roman" w:hAnsi="Times New Roman" w:eastAsia="宋体" w:cs="Times New Roman"/>
          <w:color w:val="auto"/>
          <w:sz w:val="24"/>
          <w:highlight w:val="none"/>
          <w:lang w:val="en-US" w:eastAsia="zh-CN"/>
        </w:rPr>
        <w:t>不允许分包</w:t>
      </w:r>
      <w:r>
        <w:rPr>
          <w:rFonts w:hint="default" w:ascii="Times New Roman" w:hAnsi="Times New Roman" w:eastAsia="宋体" w:cs="Times New Roman"/>
          <w:color w:val="auto"/>
          <w:sz w:val="24"/>
          <w:highlight w:val="none"/>
        </w:rPr>
        <w:t>。</w:t>
      </w:r>
    </w:p>
    <w:p w14:paraId="188325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9.2投标人应当对所投分包招标文件中所列的所有内容进行投标，如仅响应所投包别中的部分内容，其所投包别的投标将被认定为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14:paraId="37D5F5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bookmarkStart w:id="21" w:name="_Hlk16458980"/>
      <w:r>
        <w:rPr>
          <w:rFonts w:hint="default" w:ascii="Times New Roman" w:hAnsi="Times New Roman" w:eastAsia="宋体" w:cs="Times New Roman"/>
          <w:color w:val="auto"/>
          <w:sz w:val="24"/>
          <w:highlight w:val="none"/>
        </w:rPr>
        <w:t>9.3无论招标文件中是否要求，投标人所投货物及伴随的服务和工程均应符合国家强制性标准。</w:t>
      </w:r>
    </w:p>
    <w:bookmarkEnd w:id="21"/>
    <w:p w14:paraId="0C7D10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9.4投标人与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之间与投标有关的所有往来通知、函件和投标文件均用中文表述。投标人随投标文件提供的证明文件和资料可以</w:t>
      </w:r>
      <w:r>
        <w:rPr>
          <w:rFonts w:hint="default" w:ascii="Times New Roman" w:hAnsi="Times New Roman" w:eastAsia="宋体" w:cs="Times New Roman"/>
          <w:color w:val="auto"/>
          <w:sz w:val="24"/>
          <w:highlight w:val="none"/>
          <w:lang w:eastAsia="zh-CN"/>
        </w:rPr>
        <w:t>为其他</w:t>
      </w:r>
      <w:r>
        <w:rPr>
          <w:rFonts w:hint="default" w:ascii="Times New Roman" w:hAnsi="Times New Roman" w:eastAsia="宋体" w:cs="Times New Roman"/>
          <w:color w:val="auto"/>
          <w:sz w:val="24"/>
          <w:highlight w:val="none"/>
        </w:rPr>
        <w:t>语言，但必须附中文译文。翻译的中文资料与外文资料出现差异时，以中文为准。</w:t>
      </w:r>
    </w:p>
    <w:p w14:paraId="6F37B7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9.5除招标文件中有特殊要求外，投标文件中所使用的计量单位，应采用中华人民共和国法定计量单位。</w:t>
      </w:r>
    </w:p>
    <w:p w14:paraId="1518EE4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10.投标文件构成</w:t>
      </w:r>
    </w:p>
    <w:p w14:paraId="5B2204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10.1投标人应完整地按招标文件提供的投标文件格式及要求编写投标文件，具体内容详见本项目第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章投标文件格式的相关内容。</w:t>
      </w:r>
    </w:p>
    <w:p w14:paraId="5FB0B4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10.2上述文件应按照招标文件规定的格式填写、签署和盖章。</w:t>
      </w:r>
    </w:p>
    <w:p w14:paraId="0CC52EF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.投标报价</w:t>
      </w:r>
    </w:p>
    <w:p w14:paraId="2ED3C0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.1投标人的报价应当包括满足本次招标全部采购需求所应提供的货物，以及伴随的服务和工程。所有投标均应以人民币报价。投标人的投标报价应遵守《中华人民共和国价格法》。</w:t>
      </w:r>
    </w:p>
    <w:p w14:paraId="56DA45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12.</w:t>
      </w:r>
      <w:r>
        <w:rPr>
          <w:rFonts w:hint="default" w:ascii="Times New Roman" w:hAnsi="Times New Roman" w:eastAsia="宋体" w:cs="Times New Roman"/>
          <w:b/>
          <w:color w:val="auto"/>
          <w:sz w:val="24"/>
          <w:highlight w:val="none"/>
        </w:rPr>
        <w:t>投标保证金</w:t>
      </w:r>
    </w:p>
    <w:p w14:paraId="20CD80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规定缴纳投标保证金</w:t>
      </w:r>
      <w:r>
        <w:rPr>
          <w:rFonts w:hint="default" w:ascii="Times New Roman" w:hAnsi="Times New Roman" w:eastAsia="宋体" w:cs="Times New Roman"/>
          <w:color w:val="auto"/>
          <w:sz w:val="24"/>
          <w:highlight w:val="none"/>
          <w:lang w:eastAsia="zh-CN"/>
        </w:rPr>
        <w:t>。</w:t>
      </w:r>
    </w:p>
    <w:p w14:paraId="63435BC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.投标有效期</w:t>
      </w:r>
    </w:p>
    <w:p w14:paraId="7F292E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.1投标有效期为从投标截止之日算起的日历天数，投标有效期详见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14:paraId="33F165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.2在投标有效期内，投标人的投标保持有效，投标人不得要求撤销或修改其投标文件。投标有效期不满足要求的投标，其投标将被认定为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14:paraId="54C02C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auto"/>
          <w:sz w:val="24"/>
          <w:highlight w:val="none"/>
          <w:lang w:val="en-US" w:eastAsia="zh-CN"/>
        </w:rPr>
        <w:t>13</w:t>
      </w:r>
      <w:r>
        <w:rPr>
          <w:rFonts w:hint="default" w:ascii="Times New Roman" w:hAnsi="Times New Roman" w:eastAsia="宋体" w:cs="Times New Roman"/>
          <w:color w:val="auto"/>
          <w:sz w:val="24"/>
          <w:highlight w:val="none"/>
        </w:rPr>
        <w:t>.3因特殊原因，</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F13EDD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.投标文件的制作</w:t>
      </w:r>
    </w:p>
    <w:p w14:paraId="41AD20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.1投标文件份数</w:t>
      </w:r>
    </w:p>
    <w:p w14:paraId="5A8A94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.1.1投标人应按照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的要求编制投标文件，并在封面上注明“正本”和“副本”字样。投标文件的正本与副本如有不一致之处，以正本为准。</w:t>
      </w:r>
    </w:p>
    <w:p w14:paraId="009387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.1.2投标文件应按招标文件要求加盖投标人公章，热敏纸无效。</w:t>
      </w:r>
    </w:p>
    <w:p w14:paraId="63FCA0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.2投标文件的封装和标记</w:t>
      </w:r>
    </w:p>
    <w:p w14:paraId="5D653E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.2.1投标文件应装订成册并封装，建议在密封袋上标注项目名称、项目编号、投标人名称及包别。</w:t>
      </w:r>
    </w:p>
    <w:p w14:paraId="3543FF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.2.2建议投标人将正本单独封装，全部副本一起封装。</w:t>
      </w:r>
    </w:p>
    <w:p w14:paraId="73B60C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.2.3如果未按规定封装或加写标记，</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将不承担投标文件错放或提前开封的责任，并可能导致投标无效。</w:t>
      </w:r>
    </w:p>
    <w:p w14:paraId="26C7C4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.3开标现场提交的其他材料要求详见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14:paraId="4E0556D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.投标截止及投标文件的递交</w:t>
      </w:r>
    </w:p>
    <w:p w14:paraId="193511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w:t>
      </w:r>
      <w:r>
        <w:rPr>
          <w:rFonts w:hint="default" w:ascii="Times New Roman" w:hAnsi="Times New Roman" w:eastAsia="宋体" w:cs="Times New Roman"/>
          <w:bCs/>
          <w:color w:val="auto"/>
          <w:sz w:val="24"/>
          <w:highlight w:val="none"/>
          <w:lang w:val="en-US" w:eastAsia="zh-CN"/>
        </w:rPr>
        <w:t>5</w:t>
      </w:r>
      <w:r>
        <w:rPr>
          <w:rFonts w:hint="default" w:ascii="Times New Roman" w:hAnsi="Times New Roman" w:eastAsia="宋体" w:cs="Times New Roman"/>
          <w:bCs/>
          <w:color w:val="auto"/>
          <w:sz w:val="24"/>
          <w:highlight w:val="none"/>
        </w:rPr>
        <w:t>.1投标人应当在</w:t>
      </w:r>
      <w:r>
        <w:rPr>
          <w:rFonts w:hint="default" w:ascii="Times New Roman" w:hAnsi="Times New Roman" w:eastAsia="宋体" w:cs="Times New Roman"/>
          <w:color w:val="auto"/>
          <w:sz w:val="24"/>
          <w:highlight w:val="none"/>
        </w:rPr>
        <w:t>“投标邀请”</w:t>
      </w:r>
      <w:r>
        <w:rPr>
          <w:rFonts w:hint="default" w:ascii="Times New Roman" w:hAnsi="Times New Roman" w:eastAsia="宋体" w:cs="Times New Roman"/>
          <w:bCs/>
          <w:color w:val="auto"/>
          <w:sz w:val="24"/>
          <w:highlight w:val="none"/>
        </w:rPr>
        <w:t>规定的投标截止时间前，将投标文件密封送达</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bCs/>
          <w:color w:val="auto"/>
          <w:sz w:val="24"/>
          <w:highlight w:val="none"/>
        </w:rPr>
        <w:t>指定的开标地点。</w:t>
      </w:r>
    </w:p>
    <w:p w14:paraId="1EF126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w:t>
      </w:r>
      <w:r>
        <w:rPr>
          <w:rFonts w:hint="default" w:ascii="Times New Roman" w:hAnsi="Times New Roman" w:eastAsia="宋体" w:cs="Times New Roman"/>
          <w:bCs/>
          <w:color w:val="auto"/>
          <w:sz w:val="24"/>
          <w:highlight w:val="none"/>
          <w:lang w:val="en-US" w:eastAsia="zh-CN"/>
        </w:rPr>
        <w:t>5</w:t>
      </w:r>
      <w:r>
        <w:rPr>
          <w:rFonts w:hint="default" w:ascii="Times New Roman" w:hAnsi="Times New Roman" w:eastAsia="宋体" w:cs="Times New Roman"/>
          <w:bCs/>
          <w:color w:val="auto"/>
          <w:sz w:val="24"/>
          <w:highlight w:val="none"/>
        </w:rPr>
        <w:t>.2在投标截止时间之后送达的投标文件将被拒绝。</w:t>
      </w:r>
    </w:p>
    <w:p w14:paraId="6F8CFC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有权按本招标文件的规定，延迟投标截止时间。在此情况下，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和投标人受投标截止时间制约的所有权利和义务均应延长至新的截止时间。</w:t>
      </w:r>
    </w:p>
    <w:p w14:paraId="10C9CE8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6</w:t>
      </w:r>
      <w:r>
        <w:rPr>
          <w:rFonts w:hint="default" w:ascii="Times New Roman" w:hAnsi="Times New Roman" w:eastAsia="宋体" w:cs="Times New Roman"/>
          <w:b/>
          <w:color w:val="auto"/>
          <w:sz w:val="24"/>
          <w:highlight w:val="none"/>
        </w:rPr>
        <w:t>.投标文件的修改、补充与撤回</w:t>
      </w:r>
    </w:p>
    <w:p w14:paraId="0DC52B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.1投标人在投标截止时间前，可以对所递交的投标文件进行补充、修改或者撤回，并书面通知采购</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p>
    <w:p w14:paraId="197B4B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.2补充、修改的内容应当按照招标文件要求签署、盖章、密封后，作为投标文件的组成部分。</w:t>
      </w:r>
    </w:p>
    <w:p w14:paraId="50C4A13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.开标</w:t>
      </w:r>
    </w:p>
    <w:p w14:paraId="39265B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.1开标将在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规定的时间和地点进行。</w:t>
      </w:r>
    </w:p>
    <w:p w14:paraId="63F091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.2开标时，投标人或者其推选的代表应检查投标文件的密封情况，经确认无误后，由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当众拆封，宣布投标名称、投标价格、书面修改和撤回投标的通知，以及招标文件规定的需要宣布的其他内容。只有在开标时唱出的优惠，评标时才予以考虑。</w:t>
      </w:r>
    </w:p>
    <w:p w14:paraId="549772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.3开标过程由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负责记录，并由参加开标的各投标人代表和相关工作人员签字确认。</w:t>
      </w:r>
    </w:p>
    <w:p w14:paraId="2749C4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.4投标人代表对开标过程和开标记录有疑义，以及认为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相关工作人员有需要回避的情形的，应当场提出询问或者回避申请。</w:t>
      </w:r>
    </w:p>
    <w:p w14:paraId="36512F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.5投标人应参加开标，投标人未参加开标的，视同认可开标结果。</w:t>
      </w:r>
    </w:p>
    <w:p w14:paraId="664E64B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8</w:t>
      </w:r>
      <w:r>
        <w:rPr>
          <w:rFonts w:hint="default" w:ascii="Times New Roman" w:hAnsi="Times New Roman" w:eastAsia="宋体" w:cs="Times New Roman"/>
          <w:b/>
          <w:color w:val="auto"/>
          <w:sz w:val="24"/>
          <w:highlight w:val="none"/>
        </w:rPr>
        <w:t>.资格审查及组建评标委员会</w:t>
      </w:r>
    </w:p>
    <w:p w14:paraId="7FE476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.1按照有关规定依法组建的评标委员会，负责本项目评标工作。</w:t>
      </w:r>
    </w:p>
    <w:p w14:paraId="34BF00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18</w:t>
      </w:r>
      <w:r>
        <w:rPr>
          <w:rFonts w:hint="default" w:ascii="Times New Roman" w:hAnsi="Times New Roman" w:eastAsia="宋体" w:cs="Times New Roman"/>
          <w:color w:val="auto"/>
          <w:sz w:val="24"/>
          <w:highlight w:val="none"/>
        </w:rPr>
        <w:t>.2评标委员会依据法律法规和招标文件中规定的内容，对投标人资格进行审查，未通过资格审查的投标人不进入评标。</w:t>
      </w:r>
    </w:p>
    <w:p w14:paraId="41BA8C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.3投标人存在不良信用记录的，其投标将被认定为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14:paraId="651179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.3.1不良信用记录是指：</w:t>
      </w:r>
      <w:bookmarkStart w:id="22" w:name="_Hlk24663244"/>
      <w:r>
        <w:rPr>
          <w:rFonts w:hint="default" w:ascii="Times New Roman" w:hAnsi="Times New Roman" w:eastAsia="宋体" w:cs="Times New Roman"/>
          <w:color w:val="auto"/>
          <w:sz w:val="24"/>
          <w:szCs w:val="18"/>
          <w:highlight w:val="none"/>
        </w:rPr>
        <w:t>（1）供应商被人民法院列入失信被执行人；（2）供应商被税务部门列入重大税收违法案件当事人名单。</w:t>
      </w:r>
    </w:p>
    <w:p w14:paraId="3E3F46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以联合体形式参加投标的，联合体任何成员存在以上不良信用记录的，联合体投标将被认定为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14:paraId="1ACE8F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.3.2信用信息查询渠道：“信用中国”网站（www.creditchina.gov.cn）。</w:t>
      </w:r>
    </w:p>
    <w:p w14:paraId="6F27E4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.3.3信用信息记录方式：投标人将查询网页打印、盖章并在投标文件中提供。查询网页必须体现被查询人名称、查询结果。</w:t>
      </w:r>
    </w:p>
    <w:p w14:paraId="134FAD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投标人对不良信用记录的真实性和有效性负责。</w:t>
      </w:r>
    </w:p>
    <w:p w14:paraId="130144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bookmarkStart w:id="23" w:name="_Hlk24663338"/>
      <w:r>
        <w:rPr>
          <w:rFonts w:hint="default" w:ascii="Times New Roman" w:hAnsi="Times New Roman" w:eastAsia="宋体" w:cs="Times New Roman"/>
          <w:color w:val="auto"/>
          <w:sz w:val="24"/>
          <w:highlight w:val="none"/>
        </w:rPr>
        <w:t>在本招标文件规定的查询时间之外，网站信息发生的任何变更均不作为资格审查依据。</w:t>
      </w:r>
    </w:p>
    <w:bookmarkEnd w:id="22"/>
    <w:bookmarkEnd w:id="23"/>
    <w:p w14:paraId="5C081C7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19</w:t>
      </w:r>
      <w:r>
        <w:rPr>
          <w:rFonts w:hint="default" w:ascii="Times New Roman" w:hAnsi="Times New Roman" w:eastAsia="宋体" w:cs="Times New Roman"/>
          <w:b/>
          <w:color w:val="auto"/>
          <w:sz w:val="24"/>
          <w:highlight w:val="none"/>
        </w:rPr>
        <w:t>.投标文件符合性审查与澄清</w:t>
      </w:r>
    </w:p>
    <w:p w14:paraId="1E5494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.1符合性审查是指依据招标文件的规定，从投标文件的有效性和完整性对招标文件的响应程度进行审查，以确定是否对招标文件的实质性要求做出响应。</w:t>
      </w:r>
    </w:p>
    <w:p w14:paraId="22E8DB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投标文件的澄清</w:t>
      </w:r>
    </w:p>
    <w:p w14:paraId="692914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w:t>
      </w:r>
      <w:r>
        <w:rPr>
          <w:rFonts w:hint="default" w:ascii="Times New Roman" w:hAnsi="Times New Roman" w:eastAsia="宋体" w:cs="Times New Roman"/>
          <w:color w:val="auto"/>
          <w:sz w:val="24"/>
          <w:highlight w:val="none"/>
          <w:lang w:eastAsia="zh-CN"/>
        </w:rPr>
        <w:t>做必要的</w:t>
      </w:r>
      <w:r>
        <w:rPr>
          <w:rFonts w:hint="default" w:ascii="Times New Roman" w:hAnsi="Times New Roman" w:eastAsia="宋体" w:cs="Times New Roman"/>
          <w:color w:val="auto"/>
          <w:sz w:val="24"/>
          <w:highlight w:val="none"/>
        </w:rPr>
        <w:t>澄清、说明或补正。投标人的澄清、说明或补正应在评标委员会规定的时间内以书面方式进行，并不得超出投标文件范围或者改变投标文件的实质性内容。</w:t>
      </w:r>
    </w:p>
    <w:p w14:paraId="2E1BAA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如有询标，授权代表（或法定代表人）携带本人有效身份证明原件参加询标。因授权代表联系不上、未到开标现场等情形而无法接受评审委员会询标的，投标人自行承担相关风险。</w:t>
      </w:r>
    </w:p>
    <w:p w14:paraId="7FE02E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.4.2投标人的澄清、说明或补正将作为投标文件的一部分。</w:t>
      </w:r>
    </w:p>
    <w:p w14:paraId="25F73B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.4.3评标委员会对投标人提交的澄清、说明或补正有疑问的，可以要求投标人进一步澄清、说明或补正，直至满足评标委员会的要求。</w:t>
      </w:r>
    </w:p>
    <w:p w14:paraId="75D1A9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.5投标文件报价出现前后不一致的，按照下列规定修正：</w:t>
      </w:r>
    </w:p>
    <w:p w14:paraId="3F5FBF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（1）投标文件中开标一览表内容与投标文件中相应内容不一致的，以开标一览表为准；</w:t>
      </w:r>
    </w:p>
    <w:p w14:paraId="2AA673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（2）大写金额和小写金额不一致的，以大写金额为准；</w:t>
      </w:r>
    </w:p>
    <w:p w14:paraId="03BE1E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（3）单价金额小数点或者百分比有明显错位的，以开标一览表的总价为准，并修改单价；</w:t>
      </w:r>
    </w:p>
    <w:p w14:paraId="532CEE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（4）总价金额与按单价汇总金额不一致的，以单价金额计算结果为准。同时出现两种以上不一致的，按照前款规定的顺序修正。修正后的报价按照第</w:t>
      </w:r>
      <w:r>
        <w:rPr>
          <w:rFonts w:hint="default" w:ascii="Times New Roman" w:hAnsi="Times New Roman" w:eastAsia="宋体" w:cs="Times New Roman"/>
          <w:color w:val="auto"/>
          <w:sz w:val="24"/>
          <w:highlight w:val="none"/>
          <w:lang w:val="en-US" w:eastAsia="zh-CN"/>
        </w:rPr>
        <w:t>20.4条的规定经投标人确认后产生约束力，投标人不确认的，其投标将被认定为投标无效。</w:t>
      </w:r>
      <w:r>
        <w:rPr>
          <w:rFonts w:hint="default" w:ascii="Times New Roman" w:hAnsi="Times New Roman" w:eastAsia="宋体" w:cs="Times New Roman"/>
          <w:color w:val="auto"/>
          <w:sz w:val="24"/>
          <w:highlight w:val="none"/>
        </w:rPr>
        <w:t>对不同文字文本投标文件的解释发生异议的，以中文文本为准。</w:t>
      </w:r>
    </w:p>
    <w:p w14:paraId="69E1FCB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0</w:t>
      </w:r>
      <w:r>
        <w:rPr>
          <w:rFonts w:hint="default" w:ascii="Times New Roman" w:hAnsi="Times New Roman" w:eastAsia="宋体" w:cs="Times New Roman"/>
          <w:b/>
          <w:color w:val="auto"/>
          <w:sz w:val="24"/>
          <w:highlight w:val="none"/>
        </w:rPr>
        <w:t>.投标无效</w:t>
      </w:r>
    </w:p>
    <w:p w14:paraId="7C0AC2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14:paraId="090722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评标委员会决定投标的响应性只根据招标文件要求和投标文件内容。</w:t>
      </w:r>
    </w:p>
    <w:p w14:paraId="29764E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无论何种原因，即使投标人投标时携带了证书材料的原件，但投标文件中未提供与之内容完全一致的影印件或复印件的，评标委员会视同其未提供。</w:t>
      </w:r>
    </w:p>
    <w:p w14:paraId="3051E2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.2如发现下列情况之一的，其投标将被认定为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14:paraId="7A3036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（1）投标文件未按照招标文件规定要求签署、盖章的；</w:t>
      </w:r>
    </w:p>
    <w:p w14:paraId="1E10BC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（2）不具备招标文件中规定的资格要求的；</w:t>
      </w:r>
    </w:p>
    <w:p w14:paraId="4B92D1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（3）报价超过招标文件中规定的预算金额或者最高限价的；</w:t>
      </w:r>
    </w:p>
    <w:p w14:paraId="5364EB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（4）投标文件不满足招标文件全部实质性要求的；</w:t>
      </w:r>
    </w:p>
    <w:p w14:paraId="4259AC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（5）投标文件含有</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不能接受的附加条件的；</w:t>
      </w:r>
    </w:p>
    <w:p w14:paraId="3489C5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（6）法律、法规和招标文件规定的其他无效情形。</w:t>
      </w:r>
    </w:p>
    <w:p w14:paraId="0578D38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.比较与评价</w:t>
      </w:r>
    </w:p>
    <w:p w14:paraId="494EA4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.1经符合性审查合格的投标文件，评标委员会将根据招标文件确定的评标方法和标准，对其投标文件作进一步的比较与评价。</w:t>
      </w:r>
    </w:p>
    <w:p w14:paraId="100959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.2评标严格按照招标文件的要求和条件进行。根据实际情况，在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中规定采用下列一种评标方法，详细评标方法和标准见招标文件第</w:t>
      </w:r>
      <w:r>
        <w:rPr>
          <w:rFonts w:hint="eastAsia" w:ascii="Times New Roman" w:hAnsi="Times New Roman" w:eastAsia="宋体" w:cs="Times New Roman"/>
          <w:color w:val="auto"/>
          <w:sz w:val="24"/>
          <w:highlight w:val="none"/>
          <w:lang w:val="en-US" w:eastAsia="zh-CN"/>
        </w:rPr>
        <w:t>三</w:t>
      </w:r>
      <w:r>
        <w:rPr>
          <w:rFonts w:hint="default" w:ascii="Times New Roman" w:hAnsi="Times New Roman" w:eastAsia="宋体" w:cs="Times New Roman"/>
          <w:color w:val="auto"/>
          <w:sz w:val="24"/>
          <w:highlight w:val="none"/>
        </w:rPr>
        <w:t>章：</w:t>
      </w:r>
    </w:p>
    <w:p w14:paraId="1866B7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（1）最低评标价法，是指投标文件满足招标文件全部实质性要求，且投标报价最低的投标人为中标候选人的评标方法。</w:t>
      </w:r>
    </w:p>
    <w:p w14:paraId="620F50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（2）综合评分法，是指投标文件满足招标文件全部实质性要求，且按照评审因素的量化指标评审得分最高的投标人为中标候选人的评标方法。</w:t>
      </w:r>
    </w:p>
    <w:p w14:paraId="7C73951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rPr>
        <w:t>.废标</w:t>
      </w:r>
    </w:p>
    <w:p w14:paraId="476EE9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出现下列情形之一，将导致项目废标：</w:t>
      </w:r>
    </w:p>
    <w:p w14:paraId="230198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（1）符合专业条件的投标人或者对招标文件做实质性响应的投标人不足规定数量的；</w:t>
      </w:r>
    </w:p>
    <w:p w14:paraId="2A5D93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（2）出现影响采购公正的违法、违规行为的；</w:t>
      </w:r>
    </w:p>
    <w:p w14:paraId="6546A3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（3）投标人的报价均超过了采购预算，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不能支付的；</w:t>
      </w:r>
    </w:p>
    <w:p w14:paraId="2FD753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（4）因重大变故，采购任务取消的。</w:t>
      </w:r>
    </w:p>
    <w:p w14:paraId="19035F0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.保密要求</w:t>
      </w:r>
    </w:p>
    <w:p w14:paraId="2E1841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.1评标将在严格保密的情况下进行。</w:t>
      </w:r>
    </w:p>
    <w:p w14:paraId="603DEC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.2有关人员应当遵守评标工作纪律，不得泄露评标文件、评标情况和评标中获悉的国家秘密、商业秘密。</w:t>
      </w:r>
    </w:p>
    <w:p w14:paraId="590AB13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.中标候选人的确定原则及标准</w:t>
      </w:r>
    </w:p>
    <w:p w14:paraId="3CCFC0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.1评标委员会依据本项目招标文件所约定的评标方法，对实质上响应招标文件的投标人按下列方法进行排序，确定中标候选人：</w:t>
      </w:r>
    </w:p>
    <w:p w14:paraId="6226CE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用最低评标价法的，除了算术修正外，不对投标人的投标价格进行任何调整。评标结果按修正后的投标报价由低到高顺序排列。修正后的投标报价出现两家或两家以上相同者，采取评标委员会抽签方式确定中标候选顺序。</w:t>
      </w:r>
    </w:p>
    <w:p w14:paraId="51245F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（2）采用综合评分法的，评标结果按评审后得分由高到低顺序排列。得分相同的，按投标报价由低到高顺序排列。得分与投标报价均相同的，采取评标委员会抽签方式确定中标候选顺序。</w:t>
      </w:r>
    </w:p>
    <w:p w14:paraId="1D8CF30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.确定中标候选人和中标人</w:t>
      </w:r>
    </w:p>
    <w:p w14:paraId="129901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.1评标委员会将根据评标标准，按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中规定数量推荐中标候选人。</w:t>
      </w:r>
    </w:p>
    <w:p w14:paraId="589560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.2按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中规定，由评标委员会或</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确定中标人。</w:t>
      </w:r>
    </w:p>
    <w:p w14:paraId="212F99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.3因重大变故采购任务取消时，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有权拒绝任何投标人中标，且对受影响的投标人不承担任何责任。</w:t>
      </w:r>
    </w:p>
    <w:p w14:paraId="01EBF22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6</w:t>
      </w:r>
      <w:r>
        <w:rPr>
          <w:rFonts w:hint="default" w:ascii="Times New Roman" w:hAnsi="Times New Roman" w:eastAsia="宋体" w:cs="Times New Roman"/>
          <w:b/>
          <w:color w:val="auto"/>
          <w:sz w:val="24"/>
          <w:highlight w:val="none"/>
        </w:rPr>
        <w:t>.编写评标报告</w:t>
      </w:r>
    </w:p>
    <w:p w14:paraId="65322E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085DB10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.中标结果公告</w:t>
      </w:r>
    </w:p>
    <w:p w14:paraId="719FCC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应当自收到评标报告之日起５日内，在评标报告确定的中标候选人名单中按顺序确定中标人。中标候选人并列的，由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或者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委托评标委员会按照招标文件规定的方式确定中标人；招标文件未规定的，采取随机抽取的方式确定。</w:t>
      </w:r>
    </w:p>
    <w:p w14:paraId="1F2F8C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.2自中标人确定之日起2日内，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将在</w:t>
      </w:r>
      <w:r>
        <w:rPr>
          <w:rFonts w:hint="default" w:ascii="Times New Roman" w:hAnsi="Times New Roman" w:eastAsia="宋体" w:cs="Times New Roman"/>
          <w:color w:val="auto"/>
          <w:sz w:val="24"/>
          <w:szCs w:val="22"/>
          <w:highlight w:val="none"/>
          <w:lang w:val="en-US" w:eastAsia="zh-CN"/>
        </w:rPr>
        <w:t>公司网站</w:t>
      </w:r>
      <w:r>
        <w:rPr>
          <w:rFonts w:hint="default" w:ascii="Times New Roman" w:hAnsi="Times New Roman" w:eastAsia="宋体" w:cs="Times New Roman"/>
          <w:color w:val="auto"/>
          <w:sz w:val="24"/>
          <w:highlight w:val="none"/>
        </w:rPr>
        <w:t>发布中标结果公告。</w:t>
      </w:r>
    </w:p>
    <w:p w14:paraId="7420E6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.3中标结果公告内容应当包括</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名称、地址、联系方式，项目名称和项目编号，中标人名称、地址和中标金额，主要中标标的的名称、规格型号、数量、单价、服务要求，中标公告期限、评审专家名单以及</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中约定进行公告的内容。中标公告期限为</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日。</w:t>
      </w:r>
    </w:p>
    <w:p w14:paraId="5069A18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8</w:t>
      </w:r>
      <w:r>
        <w:rPr>
          <w:rFonts w:hint="default" w:ascii="Times New Roman" w:hAnsi="Times New Roman" w:eastAsia="宋体" w:cs="Times New Roman"/>
          <w:b/>
          <w:color w:val="auto"/>
          <w:sz w:val="24"/>
          <w:highlight w:val="none"/>
        </w:rPr>
        <w:t>.中标通知书</w:t>
      </w:r>
    </w:p>
    <w:p w14:paraId="2D9C78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发布中标公告</w:t>
      </w:r>
      <w:r>
        <w:rPr>
          <w:rFonts w:hint="default" w:ascii="Times New Roman" w:hAnsi="Times New Roman" w:eastAsia="宋体" w:cs="Times New Roman"/>
          <w:iCs/>
          <w:color w:val="auto"/>
          <w:sz w:val="24"/>
          <w:highlight w:val="none"/>
        </w:rPr>
        <w:t>的</w:t>
      </w:r>
      <w:r>
        <w:rPr>
          <w:rFonts w:hint="default" w:ascii="Times New Roman" w:hAnsi="Times New Roman" w:eastAsia="宋体" w:cs="Times New Roman"/>
          <w:color w:val="auto"/>
          <w:sz w:val="24"/>
          <w:highlight w:val="none"/>
        </w:rPr>
        <w:t>同时向中标人发出中标通知书。</w:t>
      </w:r>
    </w:p>
    <w:p w14:paraId="3DED9D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.2中标通知书对</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和中标人具有同等法律效力。中标通知书发出以后，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改变中标结果或者中标人放弃中标，应当承担相应的法律责任。</w:t>
      </w:r>
    </w:p>
    <w:p w14:paraId="4D258D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.3中标通知书是合同的组成部分。</w:t>
      </w:r>
    </w:p>
    <w:p w14:paraId="26E5724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29</w:t>
      </w:r>
      <w:r>
        <w:rPr>
          <w:rFonts w:hint="default" w:ascii="Times New Roman" w:hAnsi="Times New Roman" w:eastAsia="宋体" w:cs="Times New Roman"/>
          <w:b/>
          <w:color w:val="auto"/>
          <w:sz w:val="24"/>
          <w:highlight w:val="none"/>
        </w:rPr>
        <w:t>.告知招标结果</w:t>
      </w:r>
    </w:p>
    <w:p w14:paraId="66FEBF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29</w:t>
      </w:r>
      <w:r>
        <w:rPr>
          <w:rFonts w:hint="default" w:ascii="Times New Roman" w:hAnsi="Times New Roman" w:eastAsia="宋体" w:cs="Times New Roman"/>
          <w:color w:val="auto"/>
          <w:sz w:val="24"/>
          <w:highlight w:val="none"/>
        </w:rPr>
        <w:t>.1在公告中标结果的同时，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同时以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规定的形式告知未通过资格审查的投标人未通过的原因；采用综合评分法评审的，还将告知未中标人本人的评审得分和排序。</w:t>
      </w:r>
    </w:p>
    <w:p w14:paraId="0D29645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0</w:t>
      </w:r>
      <w:r>
        <w:rPr>
          <w:rFonts w:hint="default" w:ascii="Times New Roman" w:hAnsi="Times New Roman" w:eastAsia="宋体" w:cs="Times New Roman"/>
          <w:b/>
          <w:color w:val="auto"/>
          <w:sz w:val="24"/>
          <w:highlight w:val="none"/>
        </w:rPr>
        <w:t>.履约保证金</w:t>
      </w:r>
    </w:p>
    <w:p w14:paraId="3E4B12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.1中标人应按照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规定缴纳履约保证金。</w:t>
      </w:r>
    </w:p>
    <w:p w14:paraId="3DD815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.2如果中标人没有按照上述履约保证金的规定执行，将视为放弃中标资格。在此情况下，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可确定下一中标候选人为中标人，也可以重新开展采购活动。</w:t>
      </w:r>
    </w:p>
    <w:p w14:paraId="1E16712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.签订合同</w:t>
      </w:r>
    </w:p>
    <w:p w14:paraId="17E5F2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与中标人应当自发出中标通知书之日起30日内签订合同。</w:t>
      </w:r>
    </w:p>
    <w:p w14:paraId="74C5EF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.2招标文件、中标人的投标文件及其澄清文件等，均为签订合同的依据。</w:t>
      </w:r>
    </w:p>
    <w:p w14:paraId="75618E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.3中标人拒绝与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签订合同的，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可以按照评审报告推荐的中标候选人名单排序，确定下一中标候选人为中标人，也可以重新开展采购活动。</w:t>
      </w:r>
    </w:p>
    <w:p w14:paraId="718863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.4当出现法规规定的中标无效或中标结果无效情形时，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可依法与排名下一位的中标候选人另行签订合同，或依法重新开展采购活动。</w:t>
      </w:r>
    </w:p>
    <w:p w14:paraId="03E938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.5 投标人签订合同前，需向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演示投标产品的相关功能。否则</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有权变更中标人。</w:t>
      </w:r>
    </w:p>
    <w:p w14:paraId="410075F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rPr>
        <w:t>.中标服务费</w:t>
      </w:r>
    </w:p>
    <w:p w14:paraId="54F3F3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.1本项目中标服务费的收取按</w:t>
      </w:r>
      <w:r>
        <w:rPr>
          <w:rFonts w:hint="default" w:ascii="Times New Roman" w:hAnsi="Times New Roman" w:eastAsia="宋体" w:cs="Times New Roman"/>
          <w:color w:val="auto"/>
          <w:sz w:val="24"/>
          <w:highlight w:val="none"/>
          <w:u w:val="single"/>
        </w:rPr>
        <w:t>投标人须知前附表的</w:t>
      </w:r>
      <w:r>
        <w:rPr>
          <w:rFonts w:hint="default" w:ascii="Times New Roman" w:hAnsi="Times New Roman" w:eastAsia="宋体" w:cs="Times New Roman"/>
          <w:color w:val="auto"/>
          <w:sz w:val="24"/>
          <w:highlight w:val="none"/>
        </w:rPr>
        <w:t>规定执行。</w:t>
      </w:r>
    </w:p>
    <w:p w14:paraId="34A22A3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bookmarkStart w:id="24" w:name="_Toc518923100"/>
      <w:bookmarkStart w:id="25" w:name="_Toc2583661"/>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.廉洁自律规定</w:t>
      </w:r>
      <w:bookmarkEnd w:id="24"/>
      <w:bookmarkEnd w:id="25"/>
    </w:p>
    <w:p w14:paraId="7C5B2A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.1采购工作人员不得接受投标人组织的宴请、旅游、娱乐，不得收受礼品、现金、有价证券等，不得向投标人报销应当由个人承担的费用。</w:t>
      </w:r>
    </w:p>
    <w:p w14:paraId="35CD91E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bookmarkStart w:id="26" w:name="_Toc2583662"/>
      <w:bookmarkStart w:id="27" w:name="_Toc518923101"/>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.人员回避</w:t>
      </w:r>
      <w:bookmarkEnd w:id="26"/>
      <w:bookmarkEnd w:id="27"/>
    </w:p>
    <w:p w14:paraId="45F908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宋体" w:cs="Times New Roman"/>
          <w:color w:val="auto"/>
          <w:sz w:val="24"/>
          <w:highlight w:val="none"/>
        </w:rPr>
        <w:t>投标人认为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员及其相关人员有法律法规所列与其他投标人有利害关系的，可以向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书面提出回避申请，并说明理由。</w:t>
      </w:r>
    </w:p>
    <w:p w14:paraId="48E0D397">
      <w:pPr>
        <w:spacing w:line="360" w:lineRule="auto"/>
        <w:jc w:val="both"/>
        <w:outlineLvl w:val="1"/>
        <w:rPr>
          <w:rFonts w:hint="default" w:ascii="Times New Roman" w:hAnsi="Times New Roman" w:eastAsia="宋体" w:cs="Times New Roman"/>
          <w:b/>
          <w:color w:val="auto"/>
          <w:sz w:val="28"/>
          <w:highlight w:val="none"/>
        </w:rPr>
      </w:pPr>
    </w:p>
    <w:p w14:paraId="0ED1E66C">
      <w:pPr>
        <w:spacing w:line="360" w:lineRule="auto"/>
        <w:jc w:val="center"/>
        <w:outlineLvl w:val="1"/>
        <w:rPr>
          <w:rFonts w:hint="default" w:ascii="Times New Roman" w:hAnsi="Times New Roman" w:eastAsia="宋体" w:cs="Times New Roman"/>
          <w:b/>
          <w:color w:val="auto"/>
          <w:sz w:val="28"/>
          <w:highlight w:val="none"/>
          <w:lang w:val="en-US" w:eastAsia="zh-CN"/>
        </w:rPr>
      </w:pPr>
      <w:r>
        <w:rPr>
          <w:rFonts w:hint="default" w:ascii="Times New Roman" w:hAnsi="Times New Roman" w:eastAsia="宋体" w:cs="Times New Roman"/>
          <w:b/>
          <w:color w:val="auto"/>
          <w:sz w:val="28"/>
          <w:highlight w:val="none"/>
        </w:rPr>
        <w:br w:type="page"/>
      </w:r>
      <w:r>
        <w:rPr>
          <w:rFonts w:hint="default" w:ascii="Times New Roman" w:hAnsi="Times New Roman" w:eastAsia="宋体" w:cs="Times New Roman"/>
          <w:b/>
          <w:color w:val="auto"/>
          <w:sz w:val="28"/>
          <w:highlight w:val="none"/>
        </w:rPr>
        <w:t xml:space="preserve">第三章  </w:t>
      </w:r>
      <w:r>
        <w:rPr>
          <w:rFonts w:hint="eastAsia" w:ascii="Times New Roman" w:hAnsi="Times New Roman" w:eastAsia="宋体" w:cs="Times New Roman"/>
          <w:b/>
          <w:color w:val="auto"/>
          <w:sz w:val="28"/>
          <w:highlight w:val="none"/>
          <w:lang w:val="en-US" w:eastAsia="zh-CN"/>
        </w:rPr>
        <w:t>评标方法</w:t>
      </w:r>
    </w:p>
    <w:p w14:paraId="16B2D7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一、总则</w:t>
      </w:r>
    </w:p>
    <w:p w14:paraId="3C39F3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本项目将按照招标文件第二章 投标人须知的相关要求及本章的规定评标。</w:t>
      </w:r>
    </w:p>
    <w:p w14:paraId="209DAF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二、评标方法</w:t>
      </w:r>
    </w:p>
    <w:p w14:paraId="1C40D6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2.1资格审查</w:t>
      </w:r>
    </w:p>
    <w:p w14:paraId="15FF4F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由评标委员会进行资格审查。资格审查表如下：</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607"/>
        <w:gridCol w:w="2137"/>
        <w:gridCol w:w="4559"/>
        <w:gridCol w:w="19"/>
      </w:tblGrid>
      <w:tr w14:paraId="1654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5"/>
            <w:tcBorders>
              <w:bottom w:val="single" w:color="auto" w:sz="4" w:space="0"/>
            </w:tcBorders>
            <w:noWrap w:val="0"/>
            <w:vAlign w:val="center"/>
          </w:tcPr>
          <w:p w14:paraId="4A91BF23">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szCs w:val="22"/>
                <w:highlight w:val="none"/>
              </w:rPr>
              <w:t>资格审查表</w:t>
            </w:r>
          </w:p>
        </w:tc>
      </w:tr>
      <w:tr w14:paraId="5F29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408" w:type="pct"/>
            <w:tcBorders>
              <w:bottom w:val="single" w:color="auto" w:sz="4" w:space="0"/>
            </w:tcBorders>
            <w:noWrap w:val="0"/>
            <w:vAlign w:val="center"/>
          </w:tcPr>
          <w:p w14:paraId="3DADE371">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887" w:type="pct"/>
            <w:tcBorders>
              <w:bottom w:val="single" w:color="auto" w:sz="4" w:space="0"/>
            </w:tcBorders>
            <w:noWrap w:val="0"/>
            <w:vAlign w:val="center"/>
          </w:tcPr>
          <w:p w14:paraId="115279EC">
            <w:pPr>
              <w:pStyle w:val="25"/>
              <w:pBdr>
                <w:bottom w:val="none" w:color="auto" w:sz="0" w:space="0"/>
              </w:pBdr>
              <w:tabs>
                <w:tab w:val="clear" w:pos="4153"/>
                <w:tab w:val="clear" w:pos="8306"/>
              </w:tabs>
              <w:snapToGrid w:val="0"/>
              <w:spacing w:line="360" w:lineRule="auto"/>
              <w:ind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1179" w:type="pct"/>
            <w:tcBorders>
              <w:bottom w:val="single" w:color="auto" w:sz="4" w:space="0"/>
            </w:tcBorders>
            <w:noWrap w:val="0"/>
            <w:vAlign w:val="center"/>
          </w:tcPr>
          <w:p w14:paraId="3E0A987D">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评审标准</w:t>
            </w:r>
          </w:p>
        </w:tc>
        <w:tc>
          <w:tcPr>
            <w:tcW w:w="2516" w:type="pct"/>
            <w:tcBorders>
              <w:bottom w:val="single" w:color="auto" w:sz="4" w:space="0"/>
            </w:tcBorders>
            <w:noWrap w:val="0"/>
            <w:vAlign w:val="center"/>
          </w:tcPr>
          <w:p w14:paraId="1776E6C8">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格式及材料要求</w:t>
            </w:r>
          </w:p>
        </w:tc>
      </w:tr>
      <w:tr w14:paraId="3EF5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897" w:hRule="atLeast"/>
          <w:jc w:val="center"/>
        </w:trPr>
        <w:tc>
          <w:tcPr>
            <w:tcW w:w="408" w:type="pct"/>
            <w:noWrap w:val="0"/>
            <w:vAlign w:val="center"/>
          </w:tcPr>
          <w:p w14:paraId="766CA087">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887" w:type="pct"/>
            <w:noWrap w:val="0"/>
            <w:vAlign w:val="center"/>
          </w:tcPr>
          <w:p w14:paraId="01831DB9">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营业执照</w:t>
            </w:r>
          </w:p>
        </w:tc>
        <w:tc>
          <w:tcPr>
            <w:tcW w:w="1179" w:type="pct"/>
            <w:tcBorders>
              <w:bottom w:val="single" w:color="auto" w:sz="4" w:space="0"/>
            </w:tcBorders>
            <w:noWrap w:val="0"/>
            <w:vAlign w:val="center"/>
          </w:tcPr>
          <w:p w14:paraId="3FD0127E">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合法有效</w:t>
            </w:r>
          </w:p>
        </w:tc>
        <w:tc>
          <w:tcPr>
            <w:tcW w:w="2516" w:type="pct"/>
            <w:noWrap w:val="0"/>
            <w:vAlign w:val="center"/>
          </w:tcPr>
          <w:p w14:paraId="305860A4">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提供有效的投标人营业执照（或事业单位法人登记证书）复印件，应</w:t>
            </w:r>
            <w:r>
              <w:rPr>
                <w:rFonts w:hint="default" w:ascii="Times New Roman" w:hAnsi="Times New Roman" w:eastAsia="宋体" w:cs="Times New Roman"/>
                <w:color w:val="auto"/>
                <w:sz w:val="24"/>
                <w:highlight w:val="none"/>
                <w:lang w:eastAsia="zh-CN"/>
              </w:rPr>
              <w:t>完整地体现</w:t>
            </w:r>
            <w:r>
              <w:rPr>
                <w:rFonts w:hint="default" w:ascii="Times New Roman" w:hAnsi="Times New Roman" w:eastAsia="宋体" w:cs="Times New Roman"/>
                <w:color w:val="auto"/>
                <w:sz w:val="24"/>
                <w:highlight w:val="none"/>
              </w:rPr>
              <w:t>出营业执照（或事业单位法人登记证书）的全部内容。联合体投标的联合体各方均须提供。</w:t>
            </w:r>
          </w:p>
        </w:tc>
      </w:tr>
      <w:tr w14:paraId="17A4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408" w:type="pct"/>
            <w:tcBorders>
              <w:bottom w:val="single" w:color="auto" w:sz="4" w:space="0"/>
            </w:tcBorders>
            <w:noWrap w:val="0"/>
            <w:vAlign w:val="center"/>
          </w:tcPr>
          <w:p w14:paraId="397C7E79">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887" w:type="pct"/>
            <w:tcBorders>
              <w:bottom w:val="single" w:color="auto" w:sz="4" w:space="0"/>
            </w:tcBorders>
            <w:noWrap w:val="0"/>
            <w:vAlign w:val="center"/>
          </w:tcPr>
          <w:p w14:paraId="157C91C7">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18"/>
                <w:highlight w:val="none"/>
              </w:rPr>
              <w:t>不良信用记录查询</w:t>
            </w:r>
          </w:p>
        </w:tc>
        <w:tc>
          <w:tcPr>
            <w:tcW w:w="1179" w:type="pct"/>
            <w:tcBorders>
              <w:bottom w:val="single" w:color="auto" w:sz="4" w:space="0"/>
            </w:tcBorders>
            <w:noWrap w:val="0"/>
            <w:vAlign w:val="center"/>
          </w:tcPr>
          <w:p w14:paraId="68875986">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投标人不得存在投标人</w:t>
            </w:r>
            <w:r>
              <w:rPr>
                <w:rFonts w:hint="default" w:ascii="Times New Roman" w:hAnsi="Times New Roman" w:eastAsia="宋体" w:cs="Times New Roman"/>
                <w:color w:val="auto"/>
                <w:sz w:val="24"/>
                <w:highlight w:val="none"/>
              </w:rPr>
              <w:t>须知正文第1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.2.1条</w:t>
            </w:r>
            <w:r>
              <w:rPr>
                <w:rFonts w:hint="default" w:ascii="Times New Roman" w:hAnsi="Times New Roman" w:eastAsia="宋体" w:cs="Times New Roman"/>
                <w:color w:val="auto"/>
                <w:sz w:val="24"/>
                <w:szCs w:val="28"/>
                <w:highlight w:val="none"/>
              </w:rPr>
              <w:t>中的</w:t>
            </w:r>
            <w:r>
              <w:rPr>
                <w:rFonts w:hint="default" w:ascii="Times New Roman" w:hAnsi="Times New Roman" w:eastAsia="宋体" w:cs="Times New Roman"/>
                <w:color w:val="auto"/>
                <w:sz w:val="24"/>
                <w:szCs w:val="18"/>
                <w:highlight w:val="none"/>
              </w:rPr>
              <w:t>不良信用记录情形</w:t>
            </w:r>
          </w:p>
        </w:tc>
        <w:tc>
          <w:tcPr>
            <w:tcW w:w="2516" w:type="pct"/>
            <w:tcBorders>
              <w:bottom w:val="single" w:color="auto" w:sz="4" w:space="0"/>
            </w:tcBorders>
            <w:noWrap w:val="0"/>
            <w:vAlign w:val="center"/>
          </w:tcPr>
          <w:p w14:paraId="6C2C9250">
            <w:pPr>
              <w:adjustRightInd w:val="0"/>
              <w:snapToGrid w:val="0"/>
              <w:spacing w:line="360" w:lineRule="auto"/>
              <w:ind w:right="-1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详见投标人须知正文第1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.2条要求</w:t>
            </w:r>
          </w:p>
        </w:tc>
      </w:tr>
      <w:tr w14:paraId="2C5F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408" w:type="pct"/>
            <w:tcBorders>
              <w:bottom w:val="single" w:color="auto" w:sz="4" w:space="0"/>
            </w:tcBorders>
            <w:noWrap w:val="0"/>
            <w:vAlign w:val="center"/>
          </w:tcPr>
          <w:p w14:paraId="59FFF3F8">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887" w:type="pct"/>
            <w:tcBorders>
              <w:bottom w:val="single" w:color="auto" w:sz="4" w:space="0"/>
            </w:tcBorders>
            <w:noWrap w:val="0"/>
            <w:vAlign w:val="center"/>
          </w:tcPr>
          <w:p w14:paraId="0060C11E">
            <w:pPr>
              <w:spacing w:after="50" w:line="360" w:lineRule="auto"/>
              <w:ind w:right="-10" w:rightChars="0"/>
              <w:jc w:val="center"/>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28"/>
                <w:highlight w:val="none"/>
              </w:rPr>
              <w:t>投标人资质</w:t>
            </w:r>
          </w:p>
        </w:tc>
        <w:tc>
          <w:tcPr>
            <w:tcW w:w="1179" w:type="pct"/>
            <w:tcBorders>
              <w:bottom w:val="single" w:color="auto" w:sz="4" w:space="0"/>
            </w:tcBorders>
            <w:noWrap w:val="0"/>
            <w:vAlign w:val="center"/>
          </w:tcPr>
          <w:p w14:paraId="1043B9CF">
            <w:pPr>
              <w:spacing w:after="50" w:line="360" w:lineRule="auto"/>
              <w:ind w:right="-10" w:rightChars="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符合投标人资格中的资质要求</w:t>
            </w:r>
          </w:p>
        </w:tc>
        <w:tc>
          <w:tcPr>
            <w:tcW w:w="2516" w:type="pct"/>
            <w:tcBorders>
              <w:bottom w:val="single" w:color="auto" w:sz="4" w:space="0"/>
            </w:tcBorders>
            <w:noWrap w:val="0"/>
            <w:vAlign w:val="center"/>
          </w:tcPr>
          <w:p w14:paraId="4719AE06">
            <w:pPr>
              <w:adjustRightInd w:val="0"/>
              <w:snapToGrid w:val="0"/>
              <w:spacing w:line="360" w:lineRule="auto"/>
              <w:ind w:right="-10" w:rightChars="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提供</w:t>
            </w:r>
            <w:r>
              <w:rPr>
                <w:rFonts w:hint="default" w:ascii="Times New Roman" w:hAnsi="Times New Roman" w:eastAsia="宋体" w:cs="Times New Roman"/>
                <w:color w:val="auto"/>
                <w:sz w:val="24"/>
                <w:szCs w:val="28"/>
                <w:highlight w:val="none"/>
              </w:rPr>
              <w:t>符合投标人资格中要求的</w:t>
            </w:r>
            <w:r>
              <w:rPr>
                <w:rFonts w:hint="default" w:ascii="Times New Roman" w:hAnsi="Times New Roman" w:eastAsia="宋体" w:cs="Times New Roman"/>
                <w:color w:val="auto"/>
                <w:sz w:val="24"/>
                <w:highlight w:val="none"/>
              </w:rPr>
              <w:t>资质证书复印件</w:t>
            </w:r>
          </w:p>
        </w:tc>
      </w:tr>
    </w:tbl>
    <w:p w14:paraId="291627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资格审查指标通过标准：</w:t>
      </w:r>
      <w:r>
        <w:rPr>
          <w:rFonts w:hint="default" w:ascii="Times New Roman" w:hAnsi="Times New Roman" w:eastAsia="宋体" w:cs="Times New Roman"/>
          <w:color w:val="auto"/>
          <w:sz w:val="24"/>
          <w:highlight w:val="none"/>
        </w:rPr>
        <w:t>投标人必须通过资格审查表中的全部评审指标。</w:t>
      </w:r>
    </w:p>
    <w:p w14:paraId="523385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2.2符合性审查</w:t>
      </w:r>
    </w:p>
    <w:p w14:paraId="299909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评标委员会对通过资格审查的投标人的投标文件进行符合性审查，以确定其是否满足招标文件的实质性要求。符合性审查表如下：</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49"/>
        <w:gridCol w:w="3324"/>
        <w:gridCol w:w="2671"/>
      </w:tblGrid>
      <w:tr w14:paraId="5F0E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noWrap w:val="0"/>
            <w:vAlign w:val="center"/>
          </w:tcPr>
          <w:p w14:paraId="594E09DA">
            <w:pPr>
              <w:adjustRightInd w:val="0"/>
              <w:snapToGrid w:val="0"/>
              <w:ind w:right="-1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符合性审查表</w:t>
            </w:r>
          </w:p>
        </w:tc>
      </w:tr>
      <w:tr w14:paraId="3181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1" w:type="pct"/>
            <w:tcBorders>
              <w:bottom w:val="single" w:color="auto" w:sz="4" w:space="0"/>
            </w:tcBorders>
            <w:noWrap w:val="0"/>
            <w:vAlign w:val="center"/>
          </w:tcPr>
          <w:p w14:paraId="6EEA6BFF">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1241" w:type="pct"/>
            <w:tcBorders>
              <w:bottom w:val="single" w:color="auto" w:sz="4" w:space="0"/>
            </w:tcBorders>
            <w:noWrap w:val="0"/>
            <w:vAlign w:val="center"/>
          </w:tcPr>
          <w:p w14:paraId="38E2855F">
            <w:pPr>
              <w:pStyle w:val="25"/>
              <w:pBdr>
                <w:bottom w:val="none" w:color="auto" w:sz="0" w:space="0"/>
              </w:pBdr>
              <w:snapToGrid w:val="0"/>
              <w:spacing w:line="240" w:lineRule="auto"/>
              <w:ind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1834" w:type="pct"/>
            <w:tcBorders>
              <w:bottom w:val="single" w:color="auto" w:sz="4" w:space="0"/>
            </w:tcBorders>
            <w:noWrap w:val="0"/>
            <w:vAlign w:val="center"/>
          </w:tcPr>
          <w:p w14:paraId="2D45F886">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评审标准</w:t>
            </w:r>
          </w:p>
        </w:tc>
        <w:tc>
          <w:tcPr>
            <w:tcW w:w="1472" w:type="pct"/>
            <w:tcBorders>
              <w:bottom w:val="single" w:color="auto" w:sz="4" w:space="0"/>
            </w:tcBorders>
            <w:noWrap w:val="0"/>
            <w:vAlign w:val="center"/>
          </w:tcPr>
          <w:p w14:paraId="08C9101B">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格式及材料要求</w:t>
            </w:r>
          </w:p>
        </w:tc>
      </w:tr>
      <w:tr w14:paraId="2760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noWrap w:val="0"/>
            <w:vAlign w:val="center"/>
          </w:tcPr>
          <w:p w14:paraId="7DC4936F">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241" w:type="pct"/>
            <w:noWrap w:val="0"/>
            <w:vAlign w:val="center"/>
          </w:tcPr>
          <w:p w14:paraId="2C22F2EB">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highlight w:val="none"/>
              </w:rPr>
              <w:t>开标一览表</w:t>
            </w:r>
          </w:p>
        </w:tc>
        <w:tc>
          <w:tcPr>
            <w:tcW w:w="1834" w:type="pct"/>
            <w:noWrap w:val="0"/>
            <w:vAlign w:val="center"/>
          </w:tcPr>
          <w:p w14:paraId="611DB0D2">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1472" w:type="pct"/>
            <w:noWrap w:val="0"/>
            <w:vAlign w:val="center"/>
          </w:tcPr>
          <w:p w14:paraId="69E3A04D">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章投标文件格式一</w:t>
            </w:r>
          </w:p>
        </w:tc>
      </w:tr>
      <w:tr w14:paraId="2F3D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noWrap w:val="0"/>
            <w:vAlign w:val="center"/>
          </w:tcPr>
          <w:p w14:paraId="6DBCF78B">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241" w:type="pct"/>
            <w:noWrap w:val="0"/>
            <w:vAlign w:val="center"/>
          </w:tcPr>
          <w:p w14:paraId="076A7BD0">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投标函</w:t>
            </w:r>
          </w:p>
        </w:tc>
        <w:tc>
          <w:tcPr>
            <w:tcW w:w="1834" w:type="pct"/>
            <w:noWrap w:val="0"/>
            <w:vAlign w:val="center"/>
          </w:tcPr>
          <w:p w14:paraId="7697F926">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1472" w:type="pct"/>
            <w:noWrap w:val="0"/>
            <w:vAlign w:val="center"/>
          </w:tcPr>
          <w:p w14:paraId="70E4ADC8">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章投标文件格式二</w:t>
            </w:r>
          </w:p>
        </w:tc>
      </w:tr>
      <w:tr w14:paraId="2D54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noWrap w:val="0"/>
            <w:vAlign w:val="center"/>
          </w:tcPr>
          <w:p w14:paraId="6E19C18F">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241" w:type="pct"/>
            <w:noWrap w:val="0"/>
            <w:vAlign w:val="center"/>
          </w:tcPr>
          <w:p w14:paraId="31709D08">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授权书</w:t>
            </w:r>
          </w:p>
        </w:tc>
        <w:tc>
          <w:tcPr>
            <w:tcW w:w="1834" w:type="pct"/>
            <w:noWrap w:val="0"/>
            <w:vAlign w:val="center"/>
          </w:tcPr>
          <w:p w14:paraId="7B9387FD">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1472" w:type="pct"/>
            <w:noWrap w:val="0"/>
            <w:vAlign w:val="center"/>
          </w:tcPr>
          <w:p w14:paraId="6C1E8213">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法定代表人参加投标的无需此件，提供身份证明即可。详见第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章投标文件格式四</w:t>
            </w:r>
          </w:p>
        </w:tc>
      </w:tr>
      <w:tr w14:paraId="2088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noWrap w:val="0"/>
            <w:vAlign w:val="center"/>
          </w:tcPr>
          <w:p w14:paraId="55C7EE5B">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1241" w:type="pct"/>
            <w:noWrap w:val="0"/>
            <w:vAlign w:val="center"/>
          </w:tcPr>
          <w:p w14:paraId="2CD6010A">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投标报价</w:t>
            </w:r>
          </w:p>
        </w:tc>
        <w:tc>
          <w:tcPr>
            <w:tcW w:w="1834" w:type="pct"/>
            <w:noWrap w:val="0"/>
            <w:vAlign w:val="center"/>
          </w:tcPr>
          <w:p w14:paraId="44B023A8">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w:t>
            </w:r>
            <w:r>
              <w:rPr>
                <w:rFonts w:hint="default" w:ascii="Times New Roman" w:hAnsi="Times New Roman" w:eastAsia="宋体" w:cs="Times New Roman"/>
                <w:color w:val="auto"/>
                <w:sz w:val="24"/>
                <w:highlight w:val="none"/>
              </w:rPr>
              <w:t>招标文件投标人须知正文第1</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条要求</w:t>
            </w:r>
          </w:p>
        </w:tc>
        <w:tc>
          <w:tcPr>
            <w:tcW w:w="1472" w:type="pct"/>
            <w:noWrap w:val="0"/>
            <w:vAlign w:val="center"/>
          </w:tcPr>
          <w:p w14:paraId="25A01245">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w:t>
            </w:r>
          </w:p>
        </w:tc>
      </w:tr>
      <w:tr w14:paraId="4AA5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noWrap w:val="0"/>
            <w:vAlign w:val="center"/>
          </w:tcPr>
          <w:p w14:paraId="71429BA5">
            <w:pPr>
              <w:adjustRightInd w:val="0"/>
              <w:snapToGrid w:val="0"/>
              <w:ind w:right="-1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w:t>
            </w:r>
          </w:p>
        </w:tc>
        <w:tc>
          <w:tcPr>
            <w:tcW w:w="1241" w:type="pct"/>
            <w:noWrap w:val="0"/>
            <w:vAlign w:val="center"/>
          </w:tcPr>
          <w:p w14:paraId="3310FCB8">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投标文件规范性</w:t>
            </w:r>
          </w:p>
        </w:tc>
        <w:tc>
          <w:tcPr>
            <w:tcW w:w="1834" w:type="pct"/>
            <w:noWrap w:val="0"/>
            <w:vAlign w:val="center"/>
          </w:tcPr>
          <w:p w14:paraId="03C9A3AF">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投标文件数量、签署、盖章符合招标文件要求；无严重的编排混乱、内容不全或字迹模糊辨认不清情况。</w:t>
            </w:r>
          </w:p>
        </w:tc>
        <w:tc>
          <w:tcPr>
            <w:tcW w:w="1472" w:type="pct"/>
            <w:noWrap w:val="0"/>
            <w:vAlign w:val="center"/>
          </w:tcPr>
          <w:p w14:paraId="3EF17D0B">
            <w:pPr>
              <w:adjustRightInd w:val="0"/>
              <w:snapToGrid w:val="0"/>
              <w:ind w:right="-10"/>
              <w:jc w:val="center"/>
              <w:rPr>
                <w:rFonts w:hint="default" w:ascii="Times New Roman" w:hAnsi="Times New Roman" w:eastAsia="宋体" w:cs="Times New Roman"/>
                <w:color w:val="auto"/>
                <w:sz w:val="24"/>
                <w:highlight w:val="none"/>
              </w:rPr>
            </w:pPr>
          </w:p>
        </w:tc>
      </w:tr>
      <w:tr w14:paraId="787A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noWrap w:val="0"/>
            <w:vAlign w:val="center"/>
          </w:tcPr>
          <w:p w14:paraId="0FB35765">
            <w:pPr>
              <w:adjustRightInd w:val="0"/>
              <w:snapToGrid w:val="0"/>
              <w:ind w:right="-1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w:t>
            </w:r>
          </w:p>
        </w:tc>
        <w:tc>
          <w:tcPr>
            <w:tcW w:w="1241" w:type="pct"/>
            <w:noWrap w:val="0"/>
            <w:vAlign w:val="center"/>
          </w:tcPr>
          <w:p w14:paraId="6C4DF2F9">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其他实质性要求</w:t>
            </w:r>
          </w:p>
        </w:tc>
        <w:tc>
          <w:tcPr>
            <w:tcW w:w="1834" w:type="pct"/>
            <w:noWrap w:val="0"/>
            <w:vAlign w:val="center"/>
          </w:tcPr>
          <w:p w14:paraId="15AD99F7">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符合招标文件列明的其他实质性要求。</w:t>
            </w:r>
          </w:p>
        </w:tc>
        <w:tc>
          <w:tcPr>
            <w:tcW w:w="1472" w:type="pct"/>
            <w:noWrap w:val="0"/>
            <w:vAlign w:val="center"/>
          </w:tcPr>
          <w:p w14:paraId="5183FE39">
            <w:pPr>
              <w:adjustRightInd w:val="0"/>
              <w:snapToGrid w:val="0"/>
              <w:ind w:right="-10"/>
              <w:jc w:val="center"/>
              <w:rPr>
                <w:rFonts w:hint="default" w:ascii="Times New Roman" w:hAnsi="Times New Roman" w:eastAsia="宋体" w:cs="Times New Roman"/>
                <w:b/>
                <w:color w:val="auto"/>
                <w:sz w:val="24"/>
                <w:highlight w:val="none"/>
              </w:rPr>
            </w:pPr>
          </w:p>
        </w:tc>
      </w:tr>
    </w:tbl>
    <w:p w14:paraId="50F0C690">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符合性审查指标通过标准：</w:t>
      </w:r>
      <w:r>
        <w:rPr>
          <w:rFonts w:hint="default" w:ascii="Times New Roman" w:hAnsi="Times New Roman" w:eastAsia="宋体" w:cs="Times New Roman"/>
          <w:color w:val="auto"/>
          <w:sz w:val="24"/>
          <w:highlight w:val="none"/>
        </w:rPr>
        <w:t>投标人必须通过符合性审查表中的全部评审指标。</w:t>
      </w:r>
    </w:p>
    <w:p w14:paraId="62E20E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2.3详细评审</w:t>
      </w:r>
    </w:p>
    <w:p w14:paraId="7C0DA6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2.3.1评标小组将对所有通过初审的响应文件进行详细评审，具体如下：</w:t>
      </w:r>
    </w:p>
    <w:p w14:paraId="6E89D4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根据评分的细则，评委应对进入详细评审的所有响应文件进行评分，并分别填写打分表。评标小组按本章第2.3.2款规定的技术部分详细评审指标对响应文件的技术部分进行打分，并计算出详细评审得分。将投标人每个分值项得分进行汇总，得到该投标人的技术部分得分。</w:t>
      </w:r>
    </w:p>
    <w:p w14:paraId="35EBDB91">
      <w:pPr>
        <w:pStyle w:val="16"/>
        <w:rPr>
          <w:rFonts w:hint="default"/>
          <w:lang w:val="en-US" w:eastAsia="zh-CN"/>
        </w:rPr>
      </w:pPr>
    </w:p>
    <w:p w14:paraId="0BBEB8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4"/>
          <w:highlight w:val="none"/>
          <w:lang w:val="en-US" w:eastAsia="zh-CN"/>
        </w:rPr>
        <w:t>2.3.2技术部分详细评审指标如下：</w:t>
      </w:r>
      <w:r>
        <w:rPr>
          <w:rFonts w:hint="eastAsia" w:ascii="Times New Roman" w:hAnsi="Times New Roman" w:eastAsia="宋体" w:cs="Times New Roman"/>
          <w:color w:val="auto"/>
          <w:sz w:val="24"/>
          <w:highlight w:val="none"/>
          <w:lang w:val="en-US" w:eastAsia="zh-CN"/>
        </w:rPr>
        <w:t>无</w:t>
      </w:r>
    </w:p>
    <w:p w14:paraId="1F18AD3D">
      <w:pPr>
        <w:spacing w:line="360" w:lineRule="auto"/>
        <w:ind w:firstLine="435"/>
        <w:rPr>
          <w:rFonts w:hint="default" w:ascii="Times New Roman" w:hAnsi="Times New Roman" w:eastAsia="宋体" w:cs="Times New Roman"/>
          <w:color w:val="auto"/>
          <w:sz w:val="24"/>
          <w:highlight w:val="none"/>
        </w:rPr>
      </w:pPr>
    </w:p>
    <w:p w14:paraId="64CBBB6E">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2.3.3商务部分得分计算</w:t>
      </w:r>
    </w:p>
    <w:p w14:paraId="423817CB">
      <w:pPr>
        <w:spacing w:line="360" w:lineRule="auto"/>
        <w:ind w:firstLine="435"/>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4"/>
          <w:highlight w:val="none"/>
          <w:lang w:val="en-US" w:eastAsia="zh-CN"/>
        </w:rPr>
        <w:t>依据通过初审的有效投标人名单，其投标人的商务部分得分按照以下方式计算：</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740"/>
        <w:gridCol w:w="5113"/>
        <w:gridCol w:w="1291"/>
      </w:tblGrid>
      <w:tr w14:paraId="039D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506" w:type="pct"/>
            <w:noWrap w:val="0"/>
            <w:vAlign w:val="center"/>
          </w:tcPr>
          <w:p w14:paraId="46099A7D">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商务部分</w:t>
            </w:r>
          </w:p>
        </w:tc>
        <w:tc>
          <w:tcPr>
            <w:tcW w:w="960" w:type="pct"/>
            <w:noWrap w:val="0"/>
            <w:vAlign w:val="center"/>
          </w:tcPr>
          <w:p w14:paraId="0E141644">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最终投标报价</w:t>
            </w:r>
          </w:p>
        </w:tc>
        <w:tc>
          <w:tcPr>
            <w:tcW w:w="2820" w:type="pct"/>
            <w:noWrap w:val="0"/>
            <w:vAlign w:val="center"/>
          </w:tcPr>
          <w:p w14:paraId="439F36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color w:val="auto"/>
                <w:sz w:val="24"/>
                <w:highlight w:val="none"/>
                <w:u w:val="single"/>
              </w:rPr>
              <w:t>最低评标价法</w:t>
            </w:r>
            <w:r>
              <w:rPr>
                <w:rFonts w:hint="eastAsia" w:ascii="Times New Roman" w:hAnsi="Times New Roman" w:eastAsia="宋体" w:cs="Times New Roman"/>
                <w:b w:val="0"/>
                <w:color w:val="auto"/>
                <w:sz w:val="24"/>
                <w:highlight w:val="none"/>
                <w:u w:val="single"/>
                <w:lang w:eastAsia="zh-CN"/>
              </w:rPr>
              <w:t>：</w:t>
            </w:r>
            <w:r>
              <w:rPr>
                <w:rFonts w:hint="default" w:ascii="Times New Roman" w:hAnsi="Times New Roman" w:eastAsia="宋体" w:cs="Times New Roman"/>
                <w:color w:val="auto"/>
                <w:sz w:val="24"/>
                <w:szCs w:val="24"/>
                <w:highlight w:val="none"/>
                <w:lang w:val="en-US" w:eastAsia="zh-CN"/>
              </w:rPr>
              <w:t>报价</w:t>
            </w:r>
            <w:r>
              <w:rPr>
                <w:rFonts w:hint="eastAsia" w:ascii="Times New Roman" w:hAnsi="Times New Roman" w:eastAsia="宋体" w:cs="Times New Roman"/>
                <w:color w:val="auto"/>
                <w:sz w:val="24"/>
                <w:szCs w:val="24"/>
                <w:highlight w:val="none"/>
                <w:lang w:val="en-US" w:eastAsia="zh-CN"/>
              </w:rPr>
              <w:t>最低的投标单位中标</w:t>
            </w:r>
          </w:p>
          <w:p w14:paraId="4D6E25BA">
            <w:pPr>
              <w:pStyle w:val="16"/>
              <w:jc w:val="center"/>
              <w:rPr>
                <w:rFonts w:hint="default" w:ascii="Times New Roman" w:hAnsi="Times New Roman" w:eastAsia="宋体" w:cs="Times New Roman"/>
                <w:color w:val="auto"/>
                <w:sz w:val="24"/>
                <w:szCs w:val="24"/>
                <w:highlight w:val="none"/>
                <w:lang w:val="en-US" w:eastAsia="zh-CN"/>
              </w:rPr>
            </w:pPr>
          </w:p>
          <w:p w14:paraId="315ACFBB">
            <w:pPr>
              <w:jc w:val="center"/>
              <w:rPr>
                <w:rFonts w:hint="default"/>
                <w:lang w:val="en-US" w:eastAsia="zh-CN"/>
              </w:rPr>
            </w:pPr>
          </w:p>
        </w:tc>
        <w:tc>
          <w:tcPr>
            <w:tcW w:w="712" w:type="pct"/>
            <w:noWrap w:val="0"/>
            <w:vAlign w:val="center"/>
          </w:tcPr>
          <w:p w14:paraId="74E09B72">
            <w:pPr>
              <w:spacing w:line="240" w:lineRule="auto"/>
              <w:jc w:val="center"/>
              <w:rPr>
                <w:rFonts w:hint="default" w:ascii="Times New Roman" w:hAnsi="Times New Roman" w:eastAsia="宋体" w:cs="Times New Roman"/>
                <w:color w:val="auto"/>
                <w:sz w:val="24"/>
                <w:szCs w:val="24"/>
                <w:highlight w:val="none"/>
                <w:lang w:val="en-US" w:eastAsia="zh-CN"/>
              </w:rPr>
            </w:pPr>
          </w:p>
        </w:tc>
      </w:tr>
    </w:tbl>
    <w:p w14:paraId="3E474C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p>
    <w:p w14:paraId="74CF43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2.4推荐中标候选人</w:t>
      </w:r>
    </w:p>
    <w:p w14:paraId="0987F492">
      <w:pPr>
        <w:pStyle w:val="5"/>
        <w:jc w:val="left"/>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报价</w:t>
      </w:r>
      <w:r>
        <w:rPr>
          <w:rFonts w:hint="eastAsia" w:ascii="Times New Roman" w:hAnsi="Times New Roman" w:eastAsia="宋体" w:cs="Times New Roman"/>
          <w:color w:val="auto"/>
          <w:sz w:val="24"/>
          <w:szCs w:val="24"/>
          <w:highlight w:val="none"/>
          <w:lang w:val="en-US" w:eastAsia="zh-CN"/>
        </w:rPr>
        <w:t>最低的投标单位</w:t>
      </w:r>
      <w:r>
        <w:rPr>
          <w:rFonts w:hint="default" w:ascii="Times New Roman" w:hAnsi="Times New Roman" w:eastAsia="宋体" w:cs="Times New Roman"/>
          <w:color w:val="auto"/>
          <w:sz w:val="24"/>
          <w:szCs w:val="24"/>
          <w:highlight w:val="none"/>
          <w:lang w:val="en-US" w:eastAsia="zh-CN"/>
        </w:rPr>
        <w:t>推荐</w:t>
      </w:r>
      <w:r>
        <w:rPr>
          <w:rFonts w:hint="eastAsia" w:ascii="Times New Roman" w:hAnsi="Times New Roman" w:eastAsia="宋体" w:cs="Times New Roman"/>
          <w:color w:val="auto"/>
          <w:sz w:val="24"/>
          <w:szCs w:val="24"/>
          <w:highlight w:val="none"/>
          <w:lang w:val="en-US" w:eastAsia="zh-CN"/>
        </w:rPr>
        <w:t>为</w:t>
      </w:r>
      <w:r>
        <w:rPr>
          <w:rFonts w:hint="default" w:ascii="Times New Roman" w:hAnsi="Times New Roman" w:eastAsia="宋体" w:cs="Times New Roman"/>
          <w:color w:val="auto"/>
          <w:sz w:val="24"/>
          <w:szCs w:val="24"/>
          <w:highlight w:val="none"/>
          <w:lang w:val="en-US" w:eastAsia="zh-CN"/>
        </w:rPr>
        <w:t>中标候选人</w:t>
      </w:r>
    </w:p>
    <w:p w14:paraId="67D87949">
      <w:pPr>
        <w:rPr>
          <w:rFonts w:hint="default" w:ascii="Times New Roman" w:hAnsi="Times New Roman" w:eastAsia="宋体" w:cs="Times New Roman"/>
          <w:b w:val="0"/>
          <w:bCs/>
          <w:color w:val="auto"/>
          <w:sz w:val="24"/>
          <w:szCs w:val="24"/>
          <w:highlight w:val="none"/>
          <w:lang w:val="en-US" w:eastAsia="zh-CN"/>
        </w:rPr>
      </w:pPr>
    </w:p>
    <w:p w14:paraId="209E4F13">
      <w:pPr>
        <w:pStyle w:val="2"/>
        <w:rPr>
          <w:rFonts w:hint="default" w:ascii="Times New Roman" w:hAnsi="Times New Roman" w:eastAsia="宋体" w:cs="Times New Roman"/>
          <w:b w:val="0"/>
          <w:bCs/>
          <w:color w:val="auto"/>
          <w:sz w:val="24"/>
          <w:szCs w:val="24"/>
          <w:highlight w:val="none"/>
          <w:lang w:val="en-US" w:eastAsia="zh-CN"/>
        </w:rPr>
      </w:pPr>
    </w:p>
    <w:p w14:paraId="15A41CA1">
      <w:pPr>
        <w:rPr>
          <w:rFonts w:hint="default" w:ascii="Times New Roman" w:hAnsi="Times New Roman" w:eastAsia="宋体" w:cs="Times New Roman"/>
          <w:b w:val="0"/>
          <w:bCs/>
          <w:color w:val="auto"/>
          <w:sz w:val="24"/>
          <w:szCs w:val="24"/>
          <w:highlight w:val="none"/>
          <w:lang w:val="en-US" w:eastAsia="zh-CN"/>
        </w:rPr>
      </w:pPr>
    </w:p>
    <w:p w14:paraId="1C20F66F">
      <w:pPr>
        <w:pStyle w:val="2"/>
        <w:rPr>
          <w:rFonts w:hint="default" w:ascii="Times New Roman" w:hAnsi="Times New Roman" w:eastAsia="宋体" w:cs="Times New Roman"/>
          <w:b w:val="0"/>
          <w:bCs/>
          <w:color w:val="auto"/>
          <w:sz w:val="24"/>
          <w:szCs w:val="24"/>
          <w:highlight w:val="none"/>
          <w:lang w:val="en-US" w:eastAsia="zh-CN"/>
        </w:rPr>
      </w:pPr>
    </w:p>
    <w:p w14:paraId="573929FB">
      <w:pPr>
        <w:rPr>
          <w:rFonts w:hint="default" w:ascii="Times New Roman" w:hAnsi="Times New Roman" w:eastAsia="宋体" w:cs="Times New Roman"/>
          <w:b w:val="0"/>
          <w:bCs/>
          <w:color w:val="auto"/>
          <w:sz w:val="24"/>
          <w:szCs w:val="24"/>
          <w:highlight w:val="none"/>
          <w:lang w:val="en-US" w:eastAsia="zh-CN"/>
        </w:rPr>
      </w:pPr>
    </w:p>
    <w:p w14:paraId="3EC421E6">
      <w:pPr>
        <w:pStyle w:val="2"/>
        <w:rPr>
          <w:rFonts w:hint="default" w:ascii="Times New Roman" w:hAnsi="Times New Roman" w:eastAsia="宋体" w:cs="Times New Roman"/>
          <w:b w:val="0"/>
          <w:bCs/>
          <w:color w:val="auto"/>
          <w:sz w:val="24"/>
          <w:szCs w:val="24"/>
          <w:highlight w:val="none"/>
          <w:lang w:val="en-US" w:eastAsia="zh-CN"/>
        </w:rPr>
      </w:pPr>
    </w:p>
    <w:p w14:paraId="2D13FE1F">
      <w:pPr>
        <w:rPr>
          <w:rFonts w:hint="default" w:ascii="Times New Roman" w:hAnsi="Times New Roman" w:eastAsia="宋体" w:cs="Times New Roman"/>
          <w:b w:val="0"/>
          <w:bCs/>
          <w:color w:val="auto"/>
          <w:sz w:val="24"/>
          <w:szCs w:val="24"/>
          <w:highlight w:val="none"/>
          <w:lang w:val="en-US" w:eastAsia="zh-CN"/>
        </w:rPr>
      </w:pPr>
    </w:p>
    <w:p w14:paraId="0F2F60DC">
      <w:pPr>
        <w:pStyle w:val="2"/>
        <w:rPr>
          <w:rFonts w:hint="default"/>
          <w:lang w:val="en-US" w:eastAsia="zh-CN"/>
        </w:rPr>
      </w:pPr>
    </w:p>
    <w:p w14:paraId="1D082589">
      <w:pPr>
        <w:rPr>
          <w:rFonts w:hint="default" w:ascii="Times New Roman" w:hAnsi="Times New Roman" w:eastAsia="宋体" w:cs="Times New Roman"/>
          <w:b w:val="0"/>
          <w:bCs/>
          <w:color w:val="auto"/>
          <w:sz w:val="24"/>
          <w:szCs w:val="24"/>
          <w:highlight w:val="none"/>
          <w:lang w:val="en-US" w:eastAsia="zh-CN"/>
        </w:rPr>
      </w:pPr>
    </w:p>
    <w:p w14:paraId="7BAF0B15">
      <w:pPr>
        <w:pStyle w:val="5"/>
        <w:rPr>
          <w:rFonts w:hint="default" w:ascii="Times New Roman" w:hAnsi="Times New Roman" w:eastAsia="宋体" w:cs="Times New Roman"/>
          <w:b w:val="0"/>
          <w:bCs/>
          <w:color w:val="auto"/>
          <w:sz w:val="24"/>
          <w:szCs w:val="24"/>
          <w:highlight w:val="none"/>
          <w:lang w:val="en-US" w:eastAsia="zh-CN"/>
        </w:rPr>
      </w:pPr>
    </w:p>
    <w:p w14:paraId="4B28EF9B">
      <w:pPr>
        <w:rPr>
          <w:rFonts w:hint="default" w:ascii="Times New Roman" w:hAnsi="Times New Roman" w:eastAsia="宋体" w:cs="Times New Roman"/>
          <w:b w:val="0"/>
          <w:bCs/>
          <w:color w:val="auto"/>
          <w:sz w:val="24"/>
          <w:szCs w:val="24"/>
          <w:highlight w:val="none"/>
          <w:lang w:val="en-US" w:eastAsia="zh-CN"/>
        </w:rPr>
      </w:pPr>
    </w:p>
    <w:p w14:paraId="5D38B284">
      <w:pPr>
        <w:pStyle w:val="5"/>
        <w:rPr>
          <w:rFonts w:hint="default" w:ascii="Times New Roman" w:hAnsi="Times New Roman" w:eastAsia="宋体" w:cs="Times New Roman"/>
          <w:b w:val="0"/>
          <w:bCs/>
          <w:color w:val="auto"/>
          <w:sz w:val="24"/>
          <w:szCs w:val="24"/>
          <w:highlight w:val="none"/>
          <w:lang w:val="en-US" w:eastAsia="zh-CN"/>
        </w:rPr>
      </w:pPr>
    </w:p>
    <w:p w14:paraId="7DB6396F">
      <w:pPr>
        <w:rPr>
          <w:rFonts w:hint="default" w:ascii="Times New Roman" w:hAnsi="Times New Roman" w:eastAsia="宋体" w:cs="Times New Roman"/>
          <w:b w:val="0"/>
          <w:bCs/>
          <w:color w:val="auto"/>
          <w:sz w:val="24"/>
          <w:szCs w:val="24"/>
          <w:highlight w:val="none"/>
          <w:lang w:val="en-US" w:eastAsia="zh-CN"/>
        </w:rPr>
      </w:pPr>
    </w:p>
    <w:p w14:paraId="3AA0863F">
      <w:pPr>
        <w:pStyle w:val="5"/>
        <w:rPr>
          <w:rFonts w:hint="default" w:ascii="Times New Roman" w:hAnsi="Times New Roman" w:eastAsia="宋体" w:cs="Times New Roman"/>
          <w:b w:val="0"/>
          <w:bCs/>
          <w:color w:val="auto"/>
          <w:sz w:val="24"/>
          <w:szCs w:val="24"/>
          <w:highlight w:val="none"/>
          <w:lang w:val="en-US" w:eastAsia="zh-CN"/>
        </w:rPr>
      </w:pPr>
    </w:p>
    <w:p w14:paraId="5F780F26">
      <w:pPr>
        <w:rPr>
          <w:rFonts w:hint="default" w:ascii="Times New Roman" w:hAnsi="Times New Roman" w:eastAsia="宋体" w:cs="Times New Roman"/>
          <w:b w:val="0"/>
          <w:bCs/>
          <w:color w:val="auto"/>
          <w:sz w:val="24"/>
          <w:szCs w:val="24"/>
          <w:highlight w:val="none"/>
          <w:lang w:val="en-US" w:eastAsia="zh-CN"/>
        </w:rPr>
      </w:pPr>
    </w:p>
    <w:p w14:paraId="3EEF1401">
      <w:pPr>
        <w:pStyle w:val="16"/>
        <w:rPr>
          <w:rFonts w:hint="default"/>
          <w:lang w:val="en-US" w:eastAsia="zh-CN"/>
        </w:rPr>
      </w:pPr>
    </w:p>
    <w:p w14:paraId="4A4DE725">
      <w:pPr>
        <w:numPr>
          <w:ilvl w:val="0"/>
          <w:numId w:val="0"/>
        </w:numPr>
        <w:spacing w:line="360" w:lineRule="auto"/>
        <w:jc w:val="center"/>
        <w:outlineLvl w:val="1"/>
        <w:rPr>
          <w:rFonts w:hint="eastAsia" w:ascii="Times New Roman" w:hAnsi="Times New Roman" w:eastAsia="宋体" w:cs="Times New Roman"/>
          <w:b/>
          <w:color w:val="auto"/>
          <w:kern w:val="20"/>
          <w:sz w:val="28"/>
          <w:szCs w:val="44"/>
          <w:lang w:val="en-US" w:eastAsia="zh-CN" w:bidi="ar-SA"/>
        </w:rPr>
      </w:pPr>
      <w:bookmarkStart w:id="28" w:name="_Toc74896746"/>
      <w:bookmarkStart w:id="29" w:name="_Toc7286"/>
    </w:p>
    <w:p w14:paraId="150FE327">
      <w:pPr>
        <w:numPr>
          <w:ilvl w:val="0"/>
          <w:numId w:val="0"/>
        </w:numPr>
        <w:spacing w:line="360" w:lineRule="auto"/>
        <w:jc w:val="center"/>
        <w:outlineLvl w:val="1"/>
        <w:rPr>
          <w:rFonts w:hint="eastAsia" w:ascii="Times New Roman" w:hAnsi="Times New Roman" w:eastAsia="宋体" w:cs="Times New Roman"/>
          <w:b/>
          <w:color w:val="auto"/>
          <w:kern w:val="20"/>
          <w:sz w:val="28"/>
          <w:szCs w:val="44"/>
          <w:lang w:val="en-US" w:eastAsia="zh-CN" w:bidi="ar-SA"/>
        </w:rPr>
      </w:pPr>
    </w:p>
    <w:p w14:paraId="073C3E84">
      <w:pPr>
        <w:numPr>
          <w:ilvl w:val="0"/>
          <w:numId w:val="0"/>
        </w:numPr>
        <w:spacing w:line="360" w:lineRule="auto"/>
        <w:jc w:val="center"/>
        <w:outlineLvl w:val="1"/>
        <w:rPr>
          <w:rFonts w:hint="eastAsia" w:ascii="Times New Roman" w:hAnsi="Times New Roman" w:eastAsia="宋体" w:cs="Times New Roman"/>
          <w:b/>
          <w:color w:val="auto"/>
          <w:kern w:val="20"/>
          <w:sz w:val="28"/>
          <w:szCs w:val="44"/>
          <w:lang w:val="en-US" w:eastAsia="zh-CN" w:bidi="ar-SA"/>
        </w:rPr>
      </w:pPr>
    </w:p>
    <w:p w14:paraId="20596A1A">
      <w:pPr>
        <w:numPr>
          <w:ilvl w:val="0"/>
          <w:numId w:val="0"/>
        </w:numPr>
        <w:spacing w:line="360" w:lineRule="auto"/>
        <w:jc w:val="center"/>
        <w:outlineLvl w:val="1"/>
        <w:rPr>
          <w:rFonts w:hint="eastAsia" w:ascii="Times New Roman" w:hAnsi="Times New Roman" w:eastAsia="宋体" w:cs="Times New Roman"/>
          <w:b/>
          <w:color w:val="auto"/>
          <w:sz w:val="28"/>
          <w:highlight w:val="none"/>
          <w:lang w:val="en-US" w:eastAsia="zh-CN"/>
        </w:rPr>
      </w:pPr>
      <w:r>
        <w:rPr>
          <w:rFonts w:hint="eastAsia" w:ascii="Times New Roman" w:hAnsi="Times New Roman" w:eastAsia="宋体" w:cs="Times New Roman"/>
          <w:b/>
          <w:color w:val="auto"/>
          <w:kern w:val="20"/>
          <w:sz w:val="28"/>
          <w:szCs w:val="44"/>
          <w:lang w:val="en-US" w:eastAsia="zh-CN" w:bidi="ar-SA"/>
        </w:rPr>
        <w:t xml:space="preserve">第四章 </w:t>
      </w:r>
      <w:r>
        <w:rPr>
          <w:rFonts w:hint="default" w:ascii="Times New Roman" w:hAnsi="Times New Roman" w:eastAsia="宋体" w:cs="Times New Roman"/>
          <w:b/>
          <w:color w:val="auto"/>
          <w:sz w:val="28"/>
          <w:highlight w:val="none"/>
        </w:rPr>
        <w:t>合同</w:t>
      </w:r>
      <w:bookmarkEnd w:id="28"/>
      <w:bookmarkEnd w:id="29"/>
      <w:r>
        <w:rPr>
          <w:rFonts w:hint="eastAsia" w:ascii="Times New Roman" w:hAnsi="Times New Roman" w:eastAsia="宋体" w:cs="Times New Roman"/>
          <w:b/>
          <w:color w:val="auto"/>
          <w:sz w:val="28"/>
          <w:highlight w:val="none"/>
          <w:lang w:val="en-US" w:eastAsia="zh-CN"/>
        </w:rPr>
        <w:t>条款</w:t>
      </w:r>
    </w:p>
    <w:p w14:paraId="0A52D625">
      <w:pPr>
        <w:keepNext w:val="0"/>
        <w:keepLines w:val="0"/>
        <w:widowControl w:val="0"/>
        <w:suppressLineNumbers w:val="0"/>
        <w:spacing w:before="0" w:beforeAutospacing="0" w:after="0" w:afterAutospacing="0" w:line="520" w:lineRule="exact"/>
        <w:ind w:left="0" w:right="0"/>
        <w:jc w:val="center"/>
        <w:rPr>
          <w:rFonts w:hint="eastAsia"/>
          <w:color w:val="auto"/>
          <w:lang w:val="en-US" w:eastAsia="zh-CN"/>
        </w:rPr>
      </w:pPr>
      <w:r>
        <w:rPr>
          <w:rFonts w:hint="eastAsia" w:ascii="宋体" w:hAnsi="宋体" w:eastAsia="宋体" w:cs="宋体"/>
          <w:b/>
          <w:bCs/>
          <w:sz w:val="36"/>
          <w:szCs w:val="36"/>
          <w:u w:val="none"/>
          <w:lang w:val="en-US" w:eastAsia="zh-CN"/>
        </w:rPr>
        <w:t>滨湖卓越城文华园一期8#楼4层装修改造工程</w:t>
      </w:r>
      <w:r>
        <w:rPr>
          <w:rFonts w:hint="eastAsia" w:ascii="Times New Roman" w:hAnsi="Times New Roman" w:eastAsia="宋体" w:cs="Times New Roman"/>
          <w:b/>
          <w:bCs/>
          <w:color w:val="auto"/>
          <w:sz w:val="36"/>
          <w:szCs w:val="36"/>
          <w:lang w:val="en-US" w:eastAsia="zh-CN"/>
        </w:rPr>
        <w:t>合同</w:t>
      </w:r>
    </w:p>
    <w:p w14:paraId="62B5BC9A">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color w:val="auto"/>
          <w:sz w:val="36"/>
          <w:szCs w:val="36"/>
          <w:lang w:val="en-US"/>
        </w:rPr>
      </w:pPr>
    </w:p>
    <w:p w14:paraId="0EC1238C">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 xml:space="preserve">招标人（甲方）：                                                </w:t>
      </w:r>
    </w:p>
    <w:p w14:paraId="468D2310">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lang w:val="en-US" w:eastAsia="zh-CN"/>
        </w:rPr>
        <w:t>服务</w:t>
      </w:r>
      <w:r>
        <w:rPr>
          <w:rFonts w:hint="default" w:ascii="Times New Roman" w:hAnsi="Times New Roman" w:cs="Times New Roman"/>
          <w:color w:val="auto"/>
          <w:sz w:val="24"/>
          <w:szCs w:val="32"/>
          <w:highlight w:val="none"/>
        </w:rPr>
        <w:t xml:space="preserve">人（乙方）：                                                </w:t>
      </w:r>
    </w:p>
    <w:p w14:paraId="3361232E">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 xml:space="preserve">签订地点：                                                     </w:t>
      </w:r>
    </w:p>
    <w:p w14:paraId="03E25F78">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 xml:space="preserve">项目名称：                                                     </w:t>
      </w:r>
    </w:p>
    <w:p w14:paraId="0DDEACC1">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本项目采用公开方式，经本项目评标委员会认真评审，决定将采购合同授予乙方，为进一步明确双方的责任，确保合同顺利履行，根据《中华人民共和国民法典》之规定，经甲乙双方充分协商，特订立本合同，以便共同遵守。</w:t>
      </w:r>
    </w:p>
    <w:p w14:paraId="255114CB">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p>
    <w:p w14:paraId="6581C9EE">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第一条</w:t>
      </w:r>
      <w:r>
        <w:rPr>
          <w:rFonts w:hint="eastAsia"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服务内容</w:t>
      </w:r>
    </w:p>
    <w:p w14:paraId="3765F61C">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乙方同意接受甲方的委托，为甲方提供</w:t>
      </w:r>
      <w:r>
        <w:rPr>
          <w:rFonts w:hint="eastAsia" w:ascii="宋体" w:hAnsi="宋体" w:cs="宋体"/>
          <w:b w:val="0"/>
          <w:bCs w:val="0"/>
          <w:sz w:val="24"/>
          <w:szCs w:val="24"/>
          <w:u w:val="single"/>
          <w:lang w:val="en-US" w:eastAsia="zh-CN"/>
        </w:rPr>
        <w:t xml:space="preserve"> 滨湖卓越城文华园一期8#楼4层装修改造 </w:t>
      </w:r>
      <w:r>
        <w:rPr>
          <w:rFonts w:hint="default" w:ascii="Times New Roman" w:hAnsi="Times New Roman" w:eastAsia="宋体" w:cs="Times New Roman"/>
          <w:color w:val="auto"/>
          <w:sz w:val="24"/>
          <w:szCs w:val="24"/>
          <w:highlight w:val="none"/>
          <w:u w:val="single"/>
          <w:lang w:eastAsia="zh-CN"/>
        </w:rPr>
        <w:t>。</w:t>
      </w:r>
    </w:p>
    <w:p w14:paraId="576126E5">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第二条  服务要求</w:t>
      </w:r>
    </w:p>
    <w:p w14:paraId="368D48C4">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2.1</w:t>
      </w:r>
      <w:r>
        <w:rPr>
          <w:rFonts w:hint="eastAsia" w:cs="Times New Roman"/>
          <w:color w:val="auto"/>
          <w:sz w:val="24"/>
          <w:szCs w:val="24"/>
          <w:highlight w:val="none"/>
          <w:lang w:val="en-US" w:eastAsia="zh-CN"/>
        </w:rPr>
        <w:t>施工</w:t>
      </w:r>
      <w:r>
        <w:rPr>
          <w:rFonts w:hint="default" w:ascii="Times New Roman" w:hAnsi="Times New Roman" w:eastAsia="宋体" w:cs="Times New Roman"/>
          <w:color w:val="auto"/>
          <w:sz w:val="24"/>
          <w:szCs w:val="24"/>
          <w:highlight w:val="none"/>
          <w:lang w:val="en-US" w:eastAsia="zh-CN"/>
        </w:rPr>
        <w:t>地点：</w:t>
      </w:r>
      <w:r>
        <w:rPr>
          <w:rFonts w:hint="eastAsia" w:cs="Times New Roman"/>
          <w:color w:val="auto"/>
          <w:sz w:val="24"/>
          <w:szCs w:val="24"/>
          <w:highlight w:val="none"/>
          <w:lang w:val="en-US" w:eastAsia="zh-CN"/>
        </w:rPr>
        <w:t>合肥市包河区大圩镇</w:t>
      </w:r>
    </w:p>
    <w:p w14:paraId="71A1274E">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2.2</w:t>
      </w:r>
      <w:r>
        <w:rPr>
          <w:rFonts w:hint="eastAsia" w:cs="Times New Roman"/>
          <w:color w:val="auto"/>
          <w:sz w:val="24"/>
          <w:szCs w:val="24"/>
          <w:highlight w:val="none"/>
          <w:lang w:val="en-US" w:eastAsia="zh-CN"/>
        </w:rPr>
        <w:t>施工</w:t>
      </w:r>
      <w:r>
        <w:rPr>
          <w:rFonts w:hint="default" w:ascii="Times New Roman" w:hAnsi="Times New Roman" w:eastAsia="宋体" w:cs="Times New Roman"/>
          <w:color w:val="auto"/>
          <w:sz w:val="24"/>
          <w:szCs w:val="24"/>
          <w:highlight w:val="none"/>
          <w:lang w:val="en-US" w:eastAsia="zh-CN"/>
        </w:rPr>
        <w:t>要求：</w:t>
      </w:r>
      <w:r>
        <w:rPr>
          <w:rFonts w:hint="eastAsia" w:cs="Times New Roman"/>
          <w:color w:val="auto"/>
          <w:sz w:val="24"/>
          <w:szCs w:val="24"/>
          <w:highlight w:val="none"/>
          <w:lang w:val="en-US" w:eastAsia="zh-CN"/>
        </w:rPr>
        <w:t>按要求施工，材料选型需同甲方确认，不得超过报价单价格。</w:t>
      </w:r>
    </w:p>
    <w:p w14:paraId="2B0DD1CD">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2.3</w:t>
      </w:r>
      <w:r>
        <w:rPr>
          <w:rFonts w:hint="eastAsia" w:cs="Times New Roman"/>
          <w:color w:val="auto"/>
          <w:sz w:val="24"/>
          <w:szCs w:val="24"/>
          <w:highlight w:val="none"/>
          <w:lang w:val="en-US" w:eastAsia="zh-CN"/>
        </w:rPr>
        <w:t>施工工期</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30个日历天，具体开工日期以甲方签发的开工令为准</w:t>
      </w:r>
      <w:r>
        <w:rPr>
          <w:rFonts w:hint="default" w:ascii="Times New Roman" w:hAnsi="Times New Roman" w:eastAsia="宋体" w:cs="Times New Roman"/>
          <w:color w:val="auto"/>
          <w:sz w:val="24"/>
          <w:szCs w:val="24"/>
          <w:highlight w:val="none"/>
          <w:lang w:val="en-US" w:eastAsia="zh-CN"/>
        </w:rPr>
        <w:t>。</w:t>
      </w:r>
    </w:p>
    <w:p w14:paraId="25CD34DC">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rPr>
        <w:t>条</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合同价款</w:t>
      </w:r>
    </w:p>
    <w:p w14:paraId="17CFFFB8">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本合同总金额为：人民币</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，税率</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，税金</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。(该价款</w:t>
      </w:r>
      <w:r>
        <w:rPr>
          <w:rFonts w:hint="default" w:ascii="Times New Roman" w:hAnsi="Times New Roman" w:eastAsia="宋体" w:cs="Times New Roman"/>
          <w:color w:val="auto"/>
          <w:sz w:val="24"/>
          <w:szCs w:val="24"/>
          <w:highlight w:val="none"/>
          <w:lang w:val="en-US" w:eastAsia="zh-CN"/>
        </w:rPr>
        <w:t>包括</w:t>
      </w:r>
      <w:r>
        <w:rPr>
          <w:rFonts w:hint="eastAsia" w:eastAsia="宋体" w:cs="Times New Roman"/>
          <w:color w:val="auto"/>
          <w:sz w:val="24"/>
          <w:szCs w:val="24"/>
          <w:highlight w:val="none"/>
          <w:lang w:val="en-US" w:eastAsia="zh-CN"/>
        </w:rPr>
        <w:t>但不限于</w:t>
      </w:r>
      <w:r>
        <w:rPr>
          <w:rFonts w:hint="default" w:ascii="Times New Roman" w:hAnsi="Times New Roman" w:eastAsia="宋体" w:cs="Times New Roman"/>
          <w:color w:val="auto"/>
          <w:sz w:val="24"/>
          <w:szCs w:val="24"/>
          <w:highlight w:val="none"/>
        </w:rPr>
        <w:t>物料制作费、包装费、运输费、人工费、保险费、装卸费、安装调试费、培训费、各种税费、资料费、售后服务费、交付后约定期限内免费维修保养服务费及合同实施过程中的不可预见费用等全部费用、税金等)</w:t>
      </w:r>
      <w:r>
        <w:rPr>
          <w:rFonts w:hint="default" w:ascii="Times New Roman" w:hAnsi="Times New Roman" w:eastAsia="宋体" w:cs="Times New Roman"/>
          <w:color w:val="auto"/>
          <w:sz w:val="24"/>
          <w:szCs w:val="24"/>
          <w:highlight w:val="none"/>
          <w:lang w:eastAsia="zh-CN"/>
        </w:rPr>
        <w:t>。</w:t>
      </w:r>
    </w:p>
    <w:p w14:paraId="697E4646">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本合同包括乙方完成本合同全部委托内容并经甲方验收合格所需的一切费用，除本合同另有约定外，甲方无需向乙方另行支付其他任何费用。</w:t>
      </w:r>
    </w:p>
    <w:p w14:paraId="403FDF1A">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四</w:t>
      </w:r>
      <w:r>
        <w:rPr>
          <w:rFonts w:hint="default" w:ascii="Times New Roman" w:hAnsi="Times New Roman" w:eastAsia="宋体" w:cs="Times New Roman"/>
          <w:b/>
          <w:bCs/>
          <w:color w:val="auto"/>
          <w:sz w:val="24"/>
          <w:szCs w:val="24"/>
          <w:highlight w:val="none"/>
        </w:rPr>
        <w:t>条</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支付方式</w:t>
      </w:r>
    </w:p>
    <w:p w14:paraId="40303831">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4.1本项目为固定总价合同，</w:t>
      </w:r>
      <w:r>
        <w:rPr>
          <w:rFonts w:hint="eastAsia" w:cs="Times New Roman"/>
          <w:b w:val="0"/>
          <w:bCs w:val="0"/>
          <w:color w:val="auto"/>
          <w:sz w:val="24"/>
          <w:szCs w:val="24"/>
          <w:highlight w:val="none"/>
          <w:lang w:val="en-US" w:eastAsia="zh-CN"/>
        </w:rPr>
        <w:t>不再进行审计，</w:t>
      </w:r>
      <w:r>
        <w:rPr>
          <w:rFonts w:hint="default" w:ascii="Times New Roman" w:hAnsi="Times New Roman" w:eastAsia="宋体" w:cs="Times New Roman"/>
          <w:b w:val="0"/>
          <w:bCs w:val="0"/>
          <w:color w:val="auto"/>
          <w:sz w:val="24"/>
          <w:szCs w:val="24"/>
          <w:highlight w:val="none"/>
          <w:lang w:val="en-US" w:eastAsia="zh-CN"/>
        </w:rPr>
        <w:t>付款方式具体约定如下：</w:t>
      </w:r>
    </w:p>
    <w:p w14:paraId="719DEF26">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付款方式具体约定如下：</w:t>
      </w:r>
    </w:p>
    <w:p w14:paraId="5879E2B1">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工程竣工验收合格后，工程款资料经招标人组织审核后，30天内支付至已完合格工程量的80%</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项目经招标人组织审核后，30天内支付至最终</w:t>
      </w:r>
      <w:r>
        <w:rPr>
          <w:rFonts w:hint="eastAsia" w:cs="Times New Roman"/>
          <w:color w:val="auto"/>
          <w:sz w:val="24"/>
          <w:szCs w:val="24"/>
          <w:highlight w:val="none"/>
          <w:lang w:val="en-US" w:eastAsia="zh-CN"/>
        </w:rPr>
        <w:t>合同价</w:t>
      </w:r>
      <w:r>
        <w:rPr>
          <w:rFonts w:hint="eastAsia" w:ascii="Times New Roman" w:hAnsi="Times New Roman" w:eastAsia="宋体" w:cs="Times New Roman"/>
          <w:color w:val="auto"/>
          <w:sz w:val="24"/>
          <w:szCs w:val="24"/>
          <w:highlight w:val="none"/>
          <w:lang w:val="en-US" w:eastAsia="zh-CN"/>
        </w:rPr>
        <w:t>的97%，余款作为质保金，待质保期满（竣工验收合格后壹年）后一次性无息支付。</w:t>
      </w:r>
    </w:p>
    <w:p w14:paraId="4D7A012F">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）每次付款前</w:t>
      </w:r>
      <w:r>
        <w:rPr>
          <w:rFonts w:hint="eastAsia" w:eastAsia="宋体"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lang w:val="en-US" w:eastAsia="zh-CN"/>
        </w:rPr>
        <w:t>需开具足额的增值税专用发票，并履行</w:t>
      </w:r>
      <w:r>
        <w:rPr>
          <w:rFonts w:hint="eastAsia" w:eastAsia="宋体" w:cs="Times New Roman"/>
          <w:color w:val="auto"/>
          <w:sz w:val="24"/>
          <w:szCs w:val="24"/>
          <w:highlight w:val="none"/>
          <w:lang w:val="en-US" w:eastAsia="zh-CN"/>
        </w:rPr>
        <w:t>甲方</w:t>
      </w:r>
      <w:r>
        <w:rPr>
          <w:rFonts w:hint="default" w:ascii="Times New Roman" w:hAnsi="Times New Roman" w:eastAsia="宋体" w:cs="Times New Roman"/>
          <w:color w:val="auto"/>
          <w:sz w:val="24"/>
          <w:szCs w:val="24"/>
          <w:highlight w:val="none"/>
          <w:lang w:val="en-US" w:eastAsia="zh-CN"/>
        </w:rPr>
        <w:t>计量支付流程。</w:t>
      </w:r>
    </w:p>
    <w:p w14:paraId="121718DF">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）税金按国家税法规定执行，若在合同履行期间，遇国家税收政策调整,则价税合计金额相应调整，但不含税金额不随增值税税率的变化调整。</w:t>
      </w:r>
    </w:p>
    <w:p w14:paraId="239D116E">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甲方对发票的接收并不表示甲方对该发票的真伪承担责任。如乙方提交虚假发票或该发票存在其他瑕疵而使甲方受到税务机关的处罚或受到其他损失，甲方有权向乙方追偿，并有权要求乙方重新提供合法有效的发票。</w:t>
      </w:r>
    </w:p>
    <w:p w14:paraId="2EEC6E67">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在达到合同约定甲方付款节点时，乙方须将结算申请（包括但不限于合同履行进度证明，甲方验收确认单等）提交给甲方，经双方确认后，乙方开根据结算金额开具相应收款发票并提出付款申请。</w:t>
      </w:r>
    </w:p>
    <w:p w14:paraId="5756FE33">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4.4</w:t>
      </w:r>
      <w:r>
        <w:rPr>
          <w:rFonts w:hint="default" w:ascii="Times New Roman" w:hAnsi="Times New Roman" w:eastAsia="宋体" w:cs="Times New Roman"/>
          <w:color w:val="auto"/>
          <w:sz w:val="24"/>
          <w:szCs w:val="24"/>
          <w:highlight w:val="none"/>
        </w:rPr>
        <w:t>甲方收到乙方的付款申请及完备资料后在本合同约定的时限内，将当期费用转帐方式支付至乙方指定的账户，如乙方提供的账户信息发生任何变更，乙方应立即通知甲方。否则，因此发生的一切损失或责任，由乙方自行承担。</w:t>
      </w:r>
    </w:p>
    <w:p w14:paraId="0BD6B5A6">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甲方开票信息</w:t>
      </w:r>
    </w:p>
    <w:p w14:paraId="6A44AF7E">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p w14:paraId="508066E8">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纳税人识别号：</w:t>
      </w:r>
    </w:p>
    <w:p w14:paraId="2124AF3F">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单位地址：</w:t>
      </w:r>
    </w:p>
    <w:p w14:paraId="0AFC7E38">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p w14:paraId="5F4AF9F5">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银行账户：</w:t>
      </w:r>
    </w:p>
    <w:p w14:paraId="464CBA09">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乙方开票信息</w:t>
      </w:r>
    </w:p>
    <w:p w14:paraId="0E27620A">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公司名称：</w:t>
      </w:r>
    </w:p>
    <w:p w14:paraId="4C55CEBC">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纳税人识别号：</w:t>
      </w:r>
    </w:p>
    <w:p w14:paraId="55D353F9">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税务登记地址：</w:t>
      </w:r>
    </w:p>
    <w:p w14:paraId="7A587EE4">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电话号码：</w:t>
      </w:r>
    </w:p>
    <w:p w14:paraId="6E1ED390">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银行账号：</w:t>
      </w:r>
    </w:p>
    <w:p w14:paraId="691E5DE9">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开 户 行：</w:t>
      </w:r>
    </w:p>
    <w:p w14:paraId="2E7B3A15">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rPr>
        <w:t>条</w:t>
      </w:r>
      <w:r>
        <w:rPr>
          <w:rFonts w:hint="default" w:ascii="Times New Roman" w:hAnsi="Times New Roman" w:eastAsia="宋体" w:cs="Times New Roman"/>
          <w:b/>
          <w:bCs/>
          <w:color w:val="auto"/>
          <w:sz w:val="24"/>
          <w:szCs w:val="24"/>
          <w:highlight w:val="none"/>
          <w:lang w:val="en-US" w:eastAsia="zh-CN"/>
        </w:rPr>
        <w:t xml:space="preserve">  权利与义务</w:t>
      </w:r>
    </w:p>
    <w:p w14:paraId="326C5B12">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5.1甲方权利和义务</w:t>
      </w:r>
    </w:p>
    <w:p w14:paraId="18DF626D">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（1）甲方有权监督施工进程，并提出合理建议；</w:t>
      </w:r>
    </w:p>
    <w:p w14:paraId="269D6D49">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（2）施工、调试期间，</w:t>
      </w:r>
      <w:r>
        <w:rPr>
          <w:rFonts w:hint="eastAsia" w:eastAsia="宋体" w:cs="Times New Roman"/>
          <w:color w:val="auto"/>
          <w:sz w:val="24"/>
          <w:szCs w:val="24"/>
          <w:highlight w:val="none"/>
          <w:lang w:val="en-US" w:eastAsia="zh-CN"/>
        </w:rPr>
        <w:t>甲方</w:t>
      </w:r>
      <w:r>
        <w:rPr>
          <w:rFonts w:hint="default" w:ascii="Times New Roman" w:hAnsi="Times New Roman" w:eastAsia="宋体" w:cs="Times New Roman"/>
          <w:color w:val="auto"/>
          <w:sz w:val="24"/>
          <w:szCs w:val="24"/>
          <w:highlight w:val="none"/>
          <w:lang w:val="en-US" w:eastAsia="zh-CN"/>
        </w:rPr>
        <w:t>协助</w:t>
      </w:r>
      <w:r>
        <w:rPr>
          <w:rFonts w:hint="eastAsia" w:eastAsia="宋体"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lang w:val="en-US" w:eastAsia="zh-CN"/>
        </w:rPr>
        <w:t>解决水、电接驳点事宜，但施工、调试期间产生所有水电费由</w:t>
      </w:r>
      <w:r>
        <w:rPr>
          <w:rFonts w:hint="eastAsia" w:eastAsia="宋体"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lang w:val="en-US" w:eastAsia="zh-CN"/>
        </w:rPr>
        <w:t>承担</w:t>
      </w:r>
      <w:r>
        <w:rPr>
          <w:rFonts w:hint="eastAsia" w:eastAsia="宋体" w:cs="Times New Roman"/>
          <w:color w:val="auto"/>
          <w:sz w:val="24"/>
          <w:szCs w:val="24"/>
          <w:highlight w:val="none"/>
          <w:lang w:val="en-US" w:eastAsia="zh-CN"/>
        </w:rPr>
        <w:t>。</w:t>
      </w:r>
    </w:p>
    <w:p w14:paraId="4354F9A3">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甲方工作需求更改涉及增减费用的，由双方协商并形成补充协议；造成工作延期的，由乙方提出书面申请，经甲方经办人签署同意意见的，于合同时间中按期顺延。</w:t>
      </w:r>
    </w:p>
    <w:p w14:paraId="1D0DF338">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若质量不符合要求，甲方有权拒绝付款。</w:t>
      </w:r>
    </w:p>
    <w:p w14:paraId="7BFE7F4A">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5.2乙方权利和义务</w:t>
      </w:r>
    </w:p>
    <w:p w14:paraId="5419ADB1">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（1）遵守现场管理、《安全管理规定》、《用电管理安全规定》</w:t>
      </w:r>
      <w:r>
        <w:rPr>
          <w:rFonts w:hint="eastAsia" w:eastAsia="宋体" w:cs="Times New Roman"/>
          <w:color w:val="auto"/>
          <w:sz w:val="24"/>
          <w:szCs w:val="24"/>
          <w:highlight w:val="none"/>
          <w:lang w:val="en-US" w:eastAsia="zh-CN"/>
        </w:rPr>
        <w:t>，</w:t>
      </w:r>
      <w:r>
        <w:rPr>
          <w:rFonts w:hint="eastAsia" w:ascii="Times New Roman" w:hAnsi="Times New Roman" w:eastAsia="宋体" w:cs="Times New Roman"/>
          <w:b w:val="0"/>
          <w:color w:val="auto"/>
          <w:sz w:val="24"/>
          <w:highlight w:val="none"/>
          <w:lang w:val="en-US" w:eastAsia="zh-CN"/>
        </w:rPr>
        <w:t>须不影响现场接待等相关事务。</w:t>
      </w:r>
    </w:p>
    <w:p w14:paraId="418BBB18">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（2）需严格按照甲乙双方确认的图纸施工，不得偷工减料，涉及需要施工资质的部分施工，如乙方无相应资质的，乙方应委托有专业资质的单位实施。</w:t>
      </w:r>
    </w:p>
    <w:p w14:paraId="19D2FC10">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（3）因乙方施工造成的人身伤亡、工程事故、财产损失等，均由乙方负责处理完毕并承担全部经济损失。</w:t>
      </w:r>
    </w:p>
    <w:p w14:paraId="45368F72">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乙方须遵守当地政府和有关部门对交通、环境卫生、噪声、市政、安全、消防等方面的规定并承担相关的协调工作和费用；施工和使用过程中如发生违规或造成第三方及公众利益受损害，乙方应负全部法律责任包括但不限于相应赔偿责任和承担罚款等；如有隐蔽施工，乙方需做好记录并交甲方管理人员；乙方需做好施工现场工作，保持现场清洁、道路畅通，竣工后及时清理现场，做到工完场清。</w:t>
      </w:r>
    </w:p>
    <w:p w14:paraId="577CA0AF">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如乙方施工未达到甲方规定要求，乙方负责返工并承担一切所发生的费用。</w:t>
      </w:r>
    </w:p>
    <w:p w14:paraId="61CECB60">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（6）</w:t>
      </w:r>
      <w:r>
        <w:rPr>
          <w:rFonts w:hint="default" w:ascii="Times New Roman" w:hAnsi="Times New Roman" w:eastAsia="宋体" w:cs="Times New Roman"/>
          <w:b w:val="0"/>
          <w:color w:val="auto"/>
          <w:sz w:val="24"/>
          <w:highlight w:val="none"/>
          <w:lang w:val="en-US" w:eastAsia="zh-CN"/>
        </w:rPr>
        <w:t>施工期间，</w:t>
      </w:r>
      <w:r>
        <w:rPr>
          <w:rFonts w:hint="eastAsia" w:ascii="Times New Roman" w:hAnsi="Times New Roman" w:eastAsia="宋体" w:cs="Times New Roman"/>
          <w:b w:val="0"/>
          <w:color w:val="auto"/>
          <w:sz w:val="24"/>
          <w:highlight w:val="none"/>
          <w:lang w:val="en-US" w:eastAsia="zh-CN"/>
        </w:rPr>
        <w:t>乙方须无条件服从小区物业公司管理，须按其规定缴纳可能产生的费用及相关保证金、押金等。</w:t>
      </w:r>
    </w:p>
    <w:p w14:paraId="6842657A">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（7）项目位于公共区域内，乙方施工、调试期间，须采取有效的成品保护措施，如因乙方原因造成现场成品损坏的，乙方须无条件维修、恢复至原样，否则，甲方直接拒绝付款。</w:t>
      </w:r>
    </w:p>
    <w:p w14:paraId="6A17AFAA">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（8）项目内接待较多，乙方须无条件配合甲方及其他相关单位组织的接待活动，如因此类接待等非乙方原因导致项目施工安装进度滞后的，经甲方书面确认后，工期可予以相应顺延。</w:t>
      </w:r>
    </w:p>
    <w:p w14:paraId="1646963F">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9）乙方须无条件做好现场安全文明施工，包含但不限于用电安全、消防安全、登高作业安全、施工区域的全封闭、必要的施工告知牌、临时导视牌等，同时，须做到“工完料尽场地清”，施工垃圾不得在施工区域以外的其他任何区域堆放。</w:t>
      </w:r>
    </w:p>
    <w:p w14:paraId="358E01B3">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val="0"/>
          <w:color w:val="auto"/>
          <w:sz w:val="24"/>
          <w:highlight w:val="none"/>
          <w:lang w:val="en-US" w:eastAsia="zh-CN"/>
        </w:rPr>
        <w:t>（10）竣工验收前，乙方须对现场进行精细化保洁，由此产生的一切费用均包含在投标报价中，由中标人自行承担。</w:t>
      </w:r>
    </w:p>
    <w:p w14:paraId="3A64B66A">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第六条  竣工验收及保修事宜</w:t>
      </w:r>
    </w:p>
    <w:p w14:paraId="3D0E8161">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6.1</w:t>
      </w:r>
      <w:r>
        <w:rPr>
          <w:rFonts w:hint="default" w:ascii="Times New Roman" w:hAnsi="Times New Roman" w:eastAsia="宋体" w:cs="Times New Roman"/>
          <w:b w:val="0"/>
          <w:bCs w:val="0"/>
          <w:color w:val="auto"/>
          <w:sz w:val="24"/>
          <w:szCs w:val="24"/>
          <w:highlight w:val="none"/>
        </w:rPr>
        <w:t>乙方完工后向甲方提请验收，甲方签字同意，即为验收合格。对于甲方在验收中提出的问题，乙方应积极按照甲方的要求组织整改，保证工程质量。</w:t>
      </w:r>
    </w:p>
    <w:p w14:paraId="5CC80477">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6.2</w:t>
      </w:r>
      <w:r>
        <w:rPr>
          <w:rFonts w:hint="default" w:ascii="Times New Roman" w:hAnsi="Times New Roman" w:eastAsia="宋体" w:cs="Times New Roman"/>
          <w:b w:val="0"/>
          <w:bCs w:val="0"/>
          <w:color w:val="auto"/>
          <w:sz w:val="24"/>
          <w:szCs w:val="24"/>
          <w:highlight w:val="none"/>
        </w:rPr>
        <w:t>本项目</w:t>
      </w:r>
      <w:r>
        <w:rPr>
          <w:rFonts w:hint="eastAsia" w:eastAsia="宋体" w:cs="Times New Roman"/>
          <w:b w:val="0"/>
          <w:bCs w:val="0"/>
          <w:color w:val="auto"/>
          <w:sz w:val="24"/>
          <w:szCs w:val="24"/>
          <w:highlight w:val="none"/>
          <w:lang w:val="en-US" w:eastAsia="zh-CN"/>
        </w:rPr>
        <w:t>质保期</w:t>
      </w:r>
      <w:r>
        <w:rPr>
          <w:rFonts w:hint="default" w:ascii="Times New Roman" w:hAnsi="Times New Roman" w:eastAsia="宋体" w:cs="Times New Roman"/>
          <w:b w:val="0"/>
          <w:bCs w:val="0"/>
          <w:color w:val="auto"/>
          <w:sz w:val="24"/>
          <w:szCs w:val="24"/>
          <w:highlight w:val="none"/>
        </w:rPr>
        <w:t>为</w:t>
      </w:r>
      <w:r>
        <w:rPr>
          <w:rFonts w:hint="eastAsia" w:cs="Times New Roman"/>
          <w:b w:val="0"/>
          <w:bCs w:val="0"/>
          <w:color w:val="auto"/>
          <w:sz w:val="24"/>
          <w:szCs w:val="24"/>
          <w:highlight w:val="none"/>
          <w:lang w:val="en-US" w:eastAsia="zh-CN"/>
        </w:rPr>
        <w:t>12</w:t>
      </w:r>
      <w:r>
        <w:rPr>
          <w:rFonts w:hint="default" w:ascii="Times New Roman" w:hAnsi="Times New Roman" w:eastAsia="宋体" w:cs="Times New Roman"/>
          <w:b w:val="0"/>
          <w:bCs w:val="0"/>
          <w:color w:val="auto"/>
          <w:sz w:val="24"/>
          <w:szCs w:val="24"/>
          <w:highlight w:val="none"/>
        </w:rPr>
        <w:t>个月，自甲方验收合格之日起计算。乙方在接到甲方的保修通知时，应于接到通知后24小时内派工程师到达现场，提出维修方案并按照甲方要求的时间组织维修。</w:t>
      </w:r>
    </w:p>
    <w:p w14:paraId="1776B37D">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cs="Times New Roman"/>
          <w:b/>
          <w:bCs/>
          <w:color w:val="auto"/>
          <w:sz w:val="24"/>
          <w:szCs w:val="24"/>
          <w:highlight w:val="none"/>
          <w:lang w:val="en-US" w:eastAsia="zh-CN"/>
        </w:rPr>
        <w:t>七</w:t>
      </w:r>
      <w:r>
        <w:rPr>
          <w:rFonts w:hint="default" w:ascii="Times New Roman" w:hAnsi="Times New Roman" w:eastAsia="宋体" w:cs="Times New Roman"/>
          <w:b/>
          <w:bCs/>
          <w:color w:val="auto"/>
          <w:sz w:val="24"/>
          <w:szCs w:val="24"/>
          <w:highlight w:val="none"/>
        </w:rPr>
        <w:t>条</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违约责任</w:t>
      </w:r>
    </w:p>
    <w:p w14:paraId="044EEADA">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7.1</w:t>
      </w:r>
      <w:r>
        <w:rPr>
          <w:rFonts w:hint="default" w:ascii="Times New Roman" w:hAnsi="Times New Roman" w:eastAsia="宋体" w:cs="Times New Roman"/>
          <w:color w:val="auto"/>
          <w:sz w:val="24"/>
          <w:szCs w:val="24"/>
          <w:highlight w:val="none"/>
        </w:rPr>
        <w:t>乙方不能如期</w:t>
      </w:r>
      <w:r>
        <w:rPr>
          <w:rFonts w:hint="eastAsia" w:cs="Times New Roman"/>
          <w:color w:val="auto"/>
          <w:sz w:val="24"/>
          <w:szCs w:val="24"/>
          <w:highlight w:val="none"/>
          <w:lang w:val="en-US" w:eastAsia="zh-CN"/>
        </w:rPr>
        <w:t>完成施工移交</w:t>
      </w:r>
      <w:r>
        <w:rPr>
          <w:rFonts w:hint="default" w:ascii="Times New Roman" w:hAnsi="Times New Roman" w:eastAsia="宋体" w:cs="Times New Roman"/>
          <w:color w:val="auto"/>
          <w:sz w:val="24"/>
          <w:szCs w:val="24"/>
          <w:highlight w:val="none"/>
        </w:rPr>
        <w:t>，每逾期一日应承担合同总金额百分之三违约金，并承担由此给甲方造成的全部经济损失。逾期超过7日的，甲方有权解除合同，乙方应支付合同价款30%的违约金。</w:t>
      </w:r>
    </w:p>
    <w:p w14:paraId="288CFE35">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7.2</w:t>
      </w:r>
      <w:r>
        <w:rPr>
          <w:rFonts w:hint="default" w:ascii="Times New Roman" w:hAnsi="Times New Roman" w:eastAsia="宋体" w:cs="Times New Roman"/>
          <w:color w:val="auto"/>
          <w:sz w:val="24"/>
          <w:szCs w:val="24"/>
          <w:highlight w:val="none"/>
        </w:rPr>
        <w:t>完工后，由乙方提出书面通知甲方验收。验收标准以本合同附件相关约定及行业规范为准。验收不合格的，乙方应当返工，工期延误的，按照前款承担违约责任。</w:t>
      </w:r>
    </w:p>
    <w:p w14:paraId="7E25FBBC">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第八条</w:t>
      </w:r>
      <w:r>
        <w:rPr>
          <w:rFonts w:hint="default" w:ascii="Times New Roman" w:hAnsi="Times New Roman" w:eastAsia="宋体" w:cs="Times New Roman"/>
          <w:b/>
          <w:bCs/>
          <w:color w:val="auto"/>
          <w:sz w:val="24"/>
          <w:szCs w:val="24"/>
          <w:highlight w:val="none"/>
        </w:rPr>
        <w:t xml:space="preserve">  第三者责任</w:t>
      </w:r>
    </w:p>
    <w:p w14:paraId="38C48039">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在本项目制作、施工及保修期内，如有任何第三者的人身或财产受到损害，乙方都负有处理及解决的责任，并承担一切经济损失，甲方不负任何责任。</w:t>
      </w:r>
    </w:p>
    <w:p w14:paraId="2FD52220">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九</w:t>
      </w:r>
      <w:r>
        <w:rPr>
          <w:rFonts w:hint="default" w:ascii="Times New Roman" w:hAnsi="Times New Roman" w:eastAsia="宋体" w:cs="Times New Roman"/>
          <w:b/>
          <w:bCs/>
          <w:color w:val="auto"/>
          <w:sz w:val="24"/>
          <w:szCs w:val="24"/>
          <w:highlight w:val="none"/>
        </w:rPr>
        <w:t xml:space="preserve">条 </w:t>
      </w:r>
      <w:r>
        <w:rPr>
          <w:rFonts w:hint="default" w:ascii="Times New Roman" w:hAnsi="Times New Roman" w:cs="Times New Roman"/>
          <w:b/>
          <w:bCs/>
          <w:color w:val="auto"/>
          <w:sz w:val="24"/>
          <w:szCs w:val="24"/>
          <w:highlight w:val="none"/>
          <w:lang w:val="en-US" w:eastAsia="zh-CN"/>
        </w:rPr>
        <w:t xml:space="preserve"> 保密条款</w:t>
      </w:r>
    </w:p>
    <w:p w14:paraId="19BAE650">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甲方提供的商业资料仅限于本合同范围内使用，未经甲方书面同意乙方不得随意使用，不得向第三方及公众泄露，由此而造成的损失由乙方全部承担。</w:t>
      </w:r>
    </w:p>
    <w:p w14:paraId="78F9837A">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cs="Times New Roman"/>
          <w:b/>
          <w:bCs/>
          <w:color w:val="auto"/>
          <w:sz w:val="24"/>
          <w:szCs w:val="24"/>
          <w:highlight w:val="none"/>
          <w:lang w:val="en-US" w:eastAsia="zh-CN"/>
        </w:rPr>
        <w:t>十</w:t>
      </w:r>
      <w:r>
        <w:rPr>
          <w:rFonts w:hint="default" w:ascii="Times New Roman" w:hAnsi="Times New Roman" w:eastAsia="宋体" w:cs="Times New Roman"/>
          <w:b/>
          <w:bCs/>
          <w:color w:val="auto"/>
          <w:sz w:val="24"/>
          <w:szCs w:val="24"/>
          <w:highlight w:val="none"/>
        </w:rPr>
        <w:t xml:space="preserve">条 </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其它</w:t>
      </w:r>
    </w:p>
    <w:p w14:paraId="15546D71">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10.1</w:t>
      </w:r>
      <w:r>
        <w:rPr>
          <w:rFonts w:hint="default" w:ascii="Times New Roman" w:hAnsi="Times New Roman" w:eastAsia="宋体" w:cs="Times New Roman"/>
          <w:color w:val="auto"/>
          <w:sz w:val="24"/>
          <w:szCs w:val="24"/>
          <w:highlight w:val="none"/>
        </w:rPr>
        <w:t>合同执行中甲、乙双方发生争议，可由双方协商解决，协商不成，则向甲方所在地法院提起诉讼解决双方争议。</w:t>
      </w:r>
    </w:p>
    <w:p w14:paraId="243AF313">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10.2</w:t>
      </w:r>
      <w:r>
        <w:rPr>
          <w:rFonts w:hint="default" w:ascii="Times New Roman" w:hAnsi="Times New Roman" w:eastAsia="宋体" w:cs="Times New Roman"/>
          <w:color w:val="auto"/>
          <w:sz w:val="24"/>
          <w:szCs w:val="24"/>
          <w:highlight w:val="none"/>
        </w:rPr>
        <w:t>本合同项下甲、乙双方互送通知的方法须以书面形式发出（除本合同另有明确约定以外，涉及各方权利或义务的通知不应以电子邮件形式发送），按照本条所述地址送达。以电报、电挂、传真等数据电文发出的，在确认该等通知已被成功地发出时即视为送达；以邮寄形式发出的，在该信函投邮后第三日即视为送达；以专人送递的，则一经实际签收即视为送达。本合同所列的地址及联系电话如有变化，应及时以书面形式通知另一方。</w:t>
      </w:r>
    </w:p>
    <w:p w14:paraId="6008D079">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10.3</w:t>
      </w:r>
      <w:r>
        <w:rPr>
          <w:rFonts w:hint="default" w:ascii="Times New Roman" w:hAnsi="Times New Roman" w:eastAsia="宋体" w:cs="Times New Roman"/>
          <w:color w:val="auto"/>
          <w:sz w:val="24"/>
          <w:szCs w:val="24"/>
          <w:highlight w:val="none"/>
        </w:rPr>
        <w:t>对本合同的任何修改均须以书面形式进行，并经本合同双方盖章之日起生效，本合同中未经修改的其他条款仍然有效。</w:t>
      </w:r>
    </w:p>
    <w:p w14:paraId="33867F9A">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10.4</w:t>
      </w:r>
      <w:r>
        <w:rPr>
          <w:rFonts w:hint="default" w:ascii="Times New Roman" w:hAnsi="Times New Roman" w:eastAsia="宋体" w:cs="Times New Roman"/>
          <w:color w:val="auto"/>
          <w:sz w:val="24"/>
          <w:szCs w:val="24"/>
          <w:highlight w:val="none"/>
        </w:rPr>
        <w:t>本合同一式肆份，甲方</w:t>
      </w:r>
      <w:r>
        <w:rPr>
          <w:rFonts w:hint="eastAsia" w:cs="Times New Roman"/>
          <w:color w:val="auto"/>
          <w:sz w:val="24"/>
          <w:szCs w:val="24"/>
          <w:highlight w:val="none"/>
          <w:lang w:val="en-US" w:eastAsia="zh-CN"/>
        </w:rPr>
        <w:t>贰</w:t>
      </w:r>
      <w:r>
        <w:rPr>
          <w:rFonts w:hint="default" w:ascii="Times New Roman" w:hAnsi="Times New Roman" w:eastAsia="宋体" w:cs="Times New Roman"/>
          <w:color w:val="auto"/>
          <w:sz w:val="24"/>
          <w:szCs w:val="24"/>
          <w:highlight w:val="none"/>
        </w:rPr>
        <w:t>份、乙方</w:t>
      </w:r>
      <w:r>
        <w:rPr>
          <w:rFonts w:hint="eastAsia" w:cs="Times New Roman"/>
          <w:color w:val="auto"/>
          <w:sz w:val="24"/>
          <w:szCs w:val="24"/>
          <w:highlight w:val="none"/>
          <w:lang w:val="en-US" w:eastAsia="zh-CN"/>
        </w:rPr>
        <w:t>贰</w:t>
      </w:r>
      <w:r>
        <w:rPr>
          <w:rFonts w:hint="default" w:ascii="Times New Roman" w:hAnsi="Times New Roman" w:eastAsia="宋体" w:cs="Times New Roman"/>
          <w:color w:val="auto"/>
          <w:sz w:val="24"/>
          <w:szCs w:val="24"/>
          <w:highlight w:val="none"/>
        </w:rPr>
        <w:t>份。</w:t>
      </w:r>
    </w:p>
    <w:p w14:paraId="76CAE532">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10.5</w:t>
      </w:r>
      <w:r>
        <w:rPr>
          <w:rFonts w:hint="default" w:ascii="Times New Roman" w:hAnsi="Times New Roman" w:eastAsia="宋体" w:cs="Times New Roman"/>
          <w:color w:val="auto"/>
          <w:sz w:val="24"/>
          <w:szCs w:val="24"/>
          <w:highlight w:val="none"/>
        </w:rPr>
        <w:t>本合同附件为合同的有效组成部分，与合同具有同等法律效力。</w:t>
      </w:r>
    </w:p>
    <w:p w14:paraId="5C90F3A9">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10.6</w:t>
      </w:r>
      <w:r>
        <w:rPr>
          <w:rFonts w:hint="default" w:ascii="Times New Roman" w:hAnsi="Times New Roman" w:eastAsia="宋体" w:cs="Times New Roman"/>
          <w:color w:val="auto"/>
          <w:sz w:val="24"/>
          <w:szCs w:val="24"/>
          <w:highlight w:val="none"/>
        </w:rPr>
        <w:t>本合同自甲、乙双方盖章之日起生效，未尽事宜，双方协商一致可以签订补充协议。本合同内容超过一页的需加盖骑缝章。</w:t>
      </w:r>
    </w:p>
    <w:p w14:paraId="48862929">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（以下无正文）</w:t>
      </w:r>
    </w:p>
    <w:p w14:paraId="535C789B">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p>
    <w:p w14:paraId="309E8333">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甲方（盖章）：</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 xml:space="preserve">   乙方（盖章）：</w:t>
      </w:r>
    </w:p>
    <w:p w14:paraId="06223850">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p>
    <w:p w14:paraId="049636FD">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法定代表人或授权代表（签字）：</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 xml:space="preserve">     法定代表人或授权代表（签字）：</w:t>
      </w:r>
    </w:p>
    <w:p w14:paraId="5A19E943">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p>
    <w:p w14:paraId="1F904B59">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日期：</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 xml:space="preserve">      日期：</w:t>
      </w:r>
    </w:p>
    <w:p w14:paraId="4A8D7FFC">
      <w:pPr>
        <w:pStyle w:val="5"/>
        <w:numPr>
          <w:ilvl w:val="0"/>
          <w:numId w:val="0"/>
        </w:numPr>
        <w:rPr>
          <w:rFonts w:hint="eastAsia"/>
          <w:lang w:val="en-US" w:eastAsia="zh-CN"/>
        </w:rPr>
      </w:pPr>
    </w:p>
    <w:p w14:paraId="3FB9EDDC">
      <w:pPr>
        <w:keepNext w:val="0"/>
        <w:keepLines w:val="0"/>
        <w:widowControl w:val="0"/>
        <w:suppressLineNumbers w:val="0"/>
        <w:spacing w:before="0" w:beforeAutospacing="0" w:after="0" w:afterAutospacing="0" w:line="960" w:lineRule="exact"/>
        <w:ind w:left="0" w:right="0"/>
        <w:jc w:val="both"/>
        <w:rPr>
          <w:rFonts w:hint="default" w:ascii="Times New Roman" w:hAnsi="Times New Roman" w:eastAsia="宋体" w:cs="Times New Roman"/>
          <w:color w:val="auto"/>
          <w:kern w:val="2"/>
          <w:sz w:val="24"/>
          <w:szCs w:val="24"/>
          <w:lang w:val="en-US" w:eastAsia="zh-CN" w:bidi="ar"/>
        </w:rPr>
      </w:pPr>
    </w:p>
    <w:p w14:paraId="288F6210">
      <w:pPr>
        <w:keepNext w:val="0"/>
        <w:keepLines w:val="0"/>
        <w:widowControl w:val="0"/>
        <w:suppressLineNumbers w:val="0"/>
        <w:spacing w:before="0" w:beforeAutospacing="0" w:after="0" w:afterAutospacing="0" w:line="960" w:lineRule="exact"/>
        <w:ind w:left="0" w:right="0"/>
        <w:jc w:val="both"/>
        <w:rPr>
          <w:rFonts w:hint="default" w:ascii="Times New Roman" w:hAnsi="Times New Roman" w:eastAsia="宋体" w:cs="Times New Roman"/>
          <w:color w:val="auto"/>
          <w:kern w:val="2"/>
          <w:sz w:val="24"/>
          <w:szCs w:val="24"/>
          <w:lang w:val="en-US" w:eastAsia="zh-CN" w:bidi="ar"/>
        </w:rPr>
      </w:pPr>
    </w:p>
    <w:p w14:paraId="65690823">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宋体" w:cs="Times New Roman"/>
          <w:b w:val="0"/>
          <w:bCs/>
          <w:color w:val="auto"/>
          <w:kern w:val="2"/>
          <w:sz w:val="22"/>
          <w:szCs w:val="22"/>
          <w:lang w:val="en-US" w:eastAsia="zh-CN" w:bidi="ar"/>
        </w:rPr>
      </w:pPr>
      <w:r>
        <w:rPr>
          <w:rFonts w:hint="eastAsia" w:ascii="Times New Roman" w:hAnsi="Times New Roman" w:eastAsia="宋体" w:cs="Times New Roman"/>
          <w:b w:val="0"/>
          <w:bCs/>
          <w:color w:val="auto"/>
          <w:kern w:val="2"/>
          <w:sz w:val="22"/>
          <w:szCs w:val="22"/>
          <w:lang w:val="en-US" w:eastAsia="zh-CN" w:bidi="ar"/>
        </w:rPr>
        <w:t>附件1：</w:t>
      </w:r>
    </w:p>
    <w:p w14:paraId="7861BC7D">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b/>
          <w:bCs w:val="0"/>
          <w:color w:val="auto"/>
          <w:kern w:val="2"/>
          <w:sz w:val="36"/>
          <w:szCs w:val="36"/>
          <w:lang w:val="en-US" w:eastAsia="zh-CN" w:bidi="ar"/>
        </w:rPr>
      </w:pPr>
      <w:r>
        <w:rPr>
          <w:rFonts w:hint="default" w:ascii="Times New Roman" w:hAnsi="Times New Roman" w:eastAsia="宋体" w:cs="Times New Roman"/>
          <w:b/>
          <w:bCs w:val="0"/>
          <w:color w:val="auto"/>
          <w:kern w:val="2"/>
          <w:sz w:val="36"/>
          <w:szCs w:val="36"/>
          <w:lang w:val="en-US" w:eastAsia="zh-CN" w:bidi="ar"/>
        </w:rPr>
        <w:t>廉政协议</w:t>
      </w:r>
    </w:p>
    <w:p w14:paraId="45200E08">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32"/>
          <w:szCs w:val="32"/>
          <w:lang w:val="en-US"/>
        </w:rPr>
      </w:pPr>
    </w:p>
    <w:p w14:paraId="16AAE29A">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为抓好采购供应中的党风廉政建设，规范、约束双方行为，确保双方工作人员廉洁从业，特订立如下合同。</w:t>
      </w:r>
    </w:p>
    <w:p w14:paraId="5E994A2A">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1.甲乙双方的权利和义务</w:t>
      </w:r>
    </w:p>
    <w:p w14:paraId="05D8C05D">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（1）严格遵守党的政策和国家有关法律法规的有关规定。</w:t>
      </w:r>
    </w:p>
    <w:p w14:paraId="68E24D96">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（2）严格执行</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（合同文件名称）合同文件，自觉按合同办事。</w:t>
      </w:r>
    </w:p>
    <w:p w14:paraId="46469E0F">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（3）双方的业务活动坚持公开、公正、诚信、透明的原则（法律认定的商业秘密和合同文件另有规定除外），不得损害国家和集体利益。</w:t>
      </w:r>
    </w:p>
    <w:p w14:paraId="3568612C">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（4）建立健全廉政制度，开展廉政教育和廉洁文化建设，公布举报电话，监督并认真查处违规违纪违法行为。</w:t>
      </w:r>
    </w:p>
    <w:p w14:paraId="6D8E6377">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（5）发现对方在业务活动中有违反廉政规定的行为，有及时提醒对方纠正的权利和义务。</w:t>
      </w:r>
    </w:p>
    <w:p w14:paraId="178DC7C8">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（6）发现对方严重违反本合同义务条款的行为，有向有关部门举报、建议给予处理并要求告知处理结果的权利。</w:t>
      </w:r>
    </w:p>
    <w:p w14:paraId="30A820D9">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2.甲方的义务</w:t>
      </w:r>
    </w:p>
    <w:p w14:paraId="424F1F46">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（1）甲方及其工作人员不得利用职务之便索要或接受乙方的礼品、礼金、消费卡和有价证券、股权、其他金融产品等财物。</w:t>
      </w:r>
    </w:p>
    <w:p w14:paraId="64AD0171">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（2）甲方及其工作人员不得在利用职务之便为乙方谋取利益之前或之后，约定在其离职后收受乙方财物，并在离职后收受。</w:t>
      </w:r>
    </w:p>
    <w:p w14:paraId="7A87671B">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（3）甲方及其工作人员不得在乙方报销应由甲方或个人支付的费用等。</w:t>
      </w:r>
    </w:p>
    <w:p w14:paraId="172BF0A3">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（4）甲方及其工作人员不得要求或者接受乙方可能影响公正执行公务的宴请以及旅游、健身、娱乐等活动安排，不得要求和接受乙方提供的交通工具、通讯工具、高档办公用品等。</w:t>
      </w:r>
    </w:p>
    <w:p w14:paraId="0ED2536C">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70D663C9">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 xml:space="preserve">（6）甲方及其工作人员不得要求乙方购买合同规定外的材料和设备采购、服务等。    </w:t>
      </w:r>
    </w:p>
    <w:p w14:paraId="464235EA">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（7）甲方及其工作人员不得有其他可能影响廉洁从业的行为。</w:t>
      </w:r>
    </w:p>
    <w:p w14:paraId="2AC8B545">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3.乙方义务</w:t>
      </w:r>
    </w:p>
    <w:p w14:paraId="7AB3FA08">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（1）乙方及其工作人员不得以任何形式向甲方及其工作人员行贿或馈赠礼品、礼金、消费卡和有价证券、股权、其他金融产品等财物，以及回扣、好处费、感谢费等。</w:t>
      </w:r>
    </w:p>
    <w:p w14:paraId="65E8ECE4">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（2）乙方及其工作人员不得与甲方及其工作人员约定，甲方及其工作人员利用职务之便为乙方谋取利益，乙方在其离职后给予财物。</w:t>
      </w:r>
    </w:p>
    <w:p w14:paraId="331FB7F8">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（3）乙方不得以任何名义为甲方及其工作人员报销由甲方单位或个人支付的任何费用。</w:t>
      </w:r>
    </w:p>
    <w:p w14:paraId="31CC86FA">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（4）乙方及其工作人员不得以任何理由邀请甲方工作人员参与可能影响公正执行公务的宴请以及旅游、健身、娱乐等活动。不得为甲方单位和个人购置或提供通讯工具、交通工具和高档办公用品等。</w:t>
      </w:r>
    </w:p>
    <w:p w14:paraId="4E06CDB8">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（5）乙方及其工作人员不得为甲方工作人员住房装修、婚丧嫁娶、出国出境、旅游等提供方便；不得为甲方工作人员的特定关系人以安排工作为名，使其不实际工作却获取薪酬。</w:t>
      </w:r>
    </w:p>
    <w:p w14:paraId="66C0FF64">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（6）甲方及其工作人员不得有其他可能影响廉洁从业的行为。</w:t>
      </w:r>
    </w:p>
    <w:p w14:paraId="6411CF40">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4.违约责任</w:t>
      </w:r>
    </w:p>
    <w:p w14:paraId="68B7951B">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（1）甲方及其工作人员违反本合同第1、2条，按管理权限，依据有关规定给予党纪政务处分和组织处理；涉嫌犯罪的，移交司法机关追究刑事责任；给乙方单位造成经济损失的，应予以赔偿。</w:t>
      </w:r>
    </w:p>
    <w:p w14:paraId="2ED61754">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（2）乙方及其工作人员违反本合同第1、3条，按管理权限，依据有关规定，给予相关处理；给甲方单位造成经济损失的，应予以赔偿。</w:t>
      </w:r>
    </w:p>
    <w:p w14:paraId="730029D2">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5.本合同有效期为甲乙双方签署之日起至该供货/服务合同履行完毕后止。</w:t>
      </w:r>
    </w:p>
    <w:p w14:paraId="25BCB0E7">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6.本合同作为</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（合同文件名称）的附件，与其具有同等的法律效力，经合同双方签署立即生效。</w:t>
      </w:r>
    </w:p>
    <w:p w14:paraId="3646777C">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bidi="ar"/>
        </w:rPr>
      </w:pPr>
      <w:r>
        <w:rPr>
          <w:rFonts w:hint="default" w:ascii="Times New Roman" w:hAnsi="Times New Roman" w:eastAsia="宋体" w:cs="Times New Roman"/>
          <w:color w:val="auto"/>
          <w:kern w:val="2"/>
          <w:sz w:val="24"/>
          <w:szCs w:val="24"/>
          <w:lang w:val="en-US" w:eastAsia="zh-CN" w:bidi="ar"/>
        </w:rPr>
        <w:t>7.本合同一式</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份，由甲、乙双方各执</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份，送交双方监督单位各</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份。</w:t>
      </w:r>
    </w:p>
    <w:p w14:paraId="241B0A22">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bidi="ar"/>
        </w:rPr>
      </w:pPr>
    </w:p>
    <w:p w14:paraId="38A25458">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bidi="ar"/>
        </w:rPr>
      </w:pPr>
    </w:p>
    <w:p w14:paraId="36A64E35">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甲方单位：（盖章）               乙方单位：（盖章）</w:t>
      </w:r>
    </w:p>
    <w:p w14:paraId="10404B2E">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法定代表人：                    法定代表人：</w:t>
      </w:r>
    </w:p>
    <w:p w14:paraId="02A92795">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或                              或</w:t>
      </w:r>
    </w:p>
    <w:p w14:paraId="2EFD7A7F">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 xml:space="preserve">其授权的代理人：                其授权的代理人：          </w:t>
      </w:r>
    </w:p>
    <w:p w14:paraId="11625A26">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年   月   日                    年   月   日</w:t>
      </w:r>
    </w:p>
    <w:p w14:paraId="4B4DF4E8">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甲方监督单位：（盖章）            乙方监督单位：（盖章）</w:t>
      </w:r>
    </w:p>
    <w:p w14:paraId="26A24617">
      <w:pPr>
        <w:pStyle w:val="5"/>
        <w:rPr>
          <w:rFonts w:hint="default"/>
          <w:lang w:val="en-US" w:eastAsia="zh-CN"/>
        </w:rPr>
      </w:pPr>
    </w:p>
    <w:p w14:paraId="137239EF">
      <w:pPr>
        <w:rPr>
          <w:rFonts w:hint="default"/>
          <w:lang w:val="en-US" w:eastAsia="zh-CN"/>
        </w:rPr>
      </w:pPr>
    </w:p>
    <w:p w14:paraId="6AFCAB1A">
      <w:pPr>
        <w:pStyle w:val="5"/>
        <w:numPr>
          <w:ilvl w:val="0"/>
          <w:numId w:val="0"/>
        </w:numPr>
        <w:ind w:left="0" w:leftChars="0" w:firstLine="0" w:firstLineChars="0"/>
        <w:jc w:val="center"/>
        <w:rPr>
          <w:rFonts w:hint="eastAsia" w:ascii="宋体" w:hAnsi="宋体" w:eastAsia="宋体" w:cs="宋体"/>
          <w:b/>
          <w:bCs/>
          <w:color w:val="000000"/>
          <w:sz w:val="28"/>
          <w:szCs w:val="28"/>
        </w:rPr>
      </w:pPr>
      <w:bookmarkStart w:id="30" w:name="_Toc130919123"/>
      <w:r>
        <w:rPr>
          <w:rFonts w:hint="eastAsia" w:ascii="宋体" w:hAnsi="宋体" w:eastAsia="宋体" w:cs="宋体"/>
          <w:b/>
          <w:bCs/>
          <w:color w:val="000000"/>
          <w:kern w:val="20"/>
          <w:sz w:val="28"/>
          <w:szCs w:val="28"/>
          <w:lang w:val="en-US" w:eastAsia="zh-CN" w:bidi="ar-SA"/>
        </w:rPr>
        <w:t>第五章</w:t>
      </w:r>
      <w:r>
        <w:rPr>
          <w:rFonts w:hint="eastAsia" w:ascii="宋体" w:hAnsi="宋体" w:eastAsia="宋体" w:cs="宋体"/>
          <w:b/>
          <w:bCs/>
          <w:color w:val="000000"/>
          <w:sz w:val="28"/>
          <w:szCs w:val="28"/>
        </w:rPr>
        <w:t xml:space="preserve"> 工程量清单</w:t>
      </w:r>
      <w:bookmarkEnd w:id="30"/>
    </w:p>
    <w:p w14:paraId="4AD5CF52">
      <w:pPr>
        <w:keepNext/>
        <w:keepLines/>
        <w:spacing w:before="240" w:beforeLines="100" w:after="240" w:afterLines="100"/>
        <w:outlineLvl w:val="1"/>
        <w:rPr>
          <w:rFonts w:ascii="Times New Roman" w:eastAsia="黑体"/>
          <w:color w:val="000000"/>
          <w:sz w:val="32"/>
          <w:szCs w:val="32"/>
        </w:rPr>
      </w:pPr>
      <w:bookmarkStart w:id="31" w:name="_Toc22767"/>
      <w:bookmarkStart w:id="32" w:name="_Toc130919124"/>
      <w:r>
        <w:rPr>
          <w:rFonts w:hint="eastAsia" w:ascii="Times New Roman" w:eastAsia="黑体"/>
          <w:color w:val="000000"/>
          <w:sz w:val="32"/>
          <w:szCs w:val="32"/>
        </w:rPr>
        <w:t>1. 计价依据</w:t>
      </w:r>
      <w:bookmarkEnd w:id="31"/>
      <w:bookmarkEnd w:id="32"/>
    </w:p>
    <w:p w14:paraId="48C47BE6">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 计价依据的确定符合国家法律法规、现行有关标准与规范，工程所在地的省、市工程定额和工程造价的规定以及工程造价信息要求。</w:t>
      </w:r>
    </w:p>
    <w:p w14:paraId="7D64E6E5">
      <w:pPr>
        <w:keepNext/>
        <w:keepLines/>
        <w:spacing w:before="240" w:beforeLines="100" w:after="240" w:afterLines="100"/>
        <w:outlineLvl w:val="1"/>
        <w:rPr>
          <w:rFonts w:hint="eastAsia" w:ascii="Times New Roman" w:eastAsia="黑体"/>
          <w:color w:val="000000"/>
          <w:sz w:val="32"/>
          <w:szCs w:val="32"/>
        </w:rPr>
      </w:pPr>
      <w:bookmarkStart w:id="33" w:name="_Toc1265"/>
      <w:bookmarkStart w:id="34" w:name="_Toc130919125"/>
      <w:r>
        <w:rPr>
          <w:rFonts w:hint="eastAsia" w:ascii="Times New Roman" w:eastAsia="黑体"/>
          <w:color w:val="000000"/>
          <w:sz w:val="32"/>
          <w:szCs w:val="32"/>
        </w:rPr>
        <w:t>2. 工程造价确定</w:t>
      </w:r>
      <w:bookmarkEnd w:id="33"/>
      <w:bookmarkEnd w:id="34"/>
    </w:p>
    <w:p w14:paraId="208F6B11">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 本项目采用工程量清单计价。</w:t>
      </w:r>
    </w:p>
    <w:p w14:paraId="277593CD">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 除招标文件另有约定外，本项目计税采用增值税一般计税方法。</w:t>
      </w:r>
    </w:p>
    <w:p w14:paraId="11312978">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 建设工程造价由分部分项工程费、措施项目费、不可竞争费、其他项目费和税金构成。</w:t>
      </w:r>
    </w:p>
    <w:p w14:paraId="248A7243">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 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p>
    <w:p w14:paraId="74DEAF35">
      <w:pPr>
        <w:keepNext/>
        <w:keepLines/>
        <w:spacing w:before="240" w:beforeLines="100" w:after="240" w:afterLines="100"/>
        <w:outlineLvl w:val="1"/>
        <w:rPr>
          <w:rFonts w:hint="eastAsia" w:ascii="Times New Roman" w:eastAsia="黑体"/>
          <w:color w:val="000000"/>
          <w:sz w:val="32"/>
          <w:szCs w:val="32"/>
        </w:rPr>
      </w:pPr>
      <w:bookmarkStart w:id="35" w:name="_Toc130919126"/>
      <w:bookmarkStart w:id="36" w:name="_Toc16638"/>
      <w:r>
        <w:rPr>
          <w:rFonts w:hint="eastAsia" w:ascii="Times New Roman" w:eastAsia="黑体"/>
          <w:color w:val="000000"/>
          <w:sz w:val="32"/>
          <w:szCs w:val="32"/>
        </w:rPr>
        <w:t>3. 招标工程量清单编制要求</w:t>
      </w:r>
      <w:bookmarkEnd w:id="35"/>
      <w:bookmarkEnd w:id="36"/>
    </w:p>
    <w:p w14:paraId="36434D64">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招标工程量清单编制依据如下：</w:t>
      </w:r>
    </w:p>
    <w:p w14:paraId="6F3B1220">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（1）2018版安徽省建设工程计价依据（含修编版）及其部分修编内容、安徽省装配式建筑工程计价定额、安徽省房屋修缮工程计价定额、安徽省市政设施养护维修工程计价定额；</w:t>
      </w:r>
    </w:p>
    <w:p w14:paraId="2F73A61C">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（2）关于贯彻执行2018版安徽省建设工程计价依据的通知（合造价〔2018〕13号）；</w:t>
      </w:r>
    </w:p>
    <w:p w14:paraId="512E65AF">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（3）关于调整合肥市建设工程计价依据增值税税率的通知（合造价〔2019〕1号）；</w:t>
      </w:r>
    </w:p>
    <w:p w14:paraId="341912D5">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（4）关于调整合肥市建设工程不可竞争费构成及计费标准的通知（合造价〔2021〕5号）；</w:t>
      </w:r>
    </w:p>
    <w:p w14:paraId="694D4F08">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（5）建设工程设计文件及相关资料；</w:t>
      </w:r>
    </w:p>
    <w:p w14:paraId="2FBA070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（6）与建设项目有关的标准、规范、技术资料；</w:t>
      </w:r>
    </w:p>
    <w:p w14:paraId="5B894DE4">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（7）拟定的招标文件及其补充通知答疑纪要； </w:t>
      </w:r>
    </w:p>
    <w:p w14:paraId="339B5A21">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（8）施工现场情况、地勘水文资料、工程特点及常规施工方案；</w:t>
      </w:r>
    </w:p>
    <w:p w14:paraId="065BD185">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（9）招标人对项目其他相关要求文件。</w:t>
      </w:r>
    </w:p>
    <w:p w14:paraId="4520369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 招标工程量清单作为招标文件的组成部分，是编制最高投标限价、投标报价、计算工程量、调整合同价款、办理工程竣工结算以及工程索赔等的依据。</w:t>
      </w:r>
    </w:p>
    <w:p w14:paraId="59C24083">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 投标人在投标报价过程中有责任和义务对招标人提供的工程量清单进行分析和核对，发现问题应按招标文件要求以书面形式告知招标人。</w:t>
      </w:r>
    </w:p>
    <w:p w14:paraId="2969719F">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 工程量清单由分部分项工程量清单、措施项目清单、不可竞争项目清单、其他项目清单、税金项目清单组成。采用统一格式和表格，具体构成内容见“工程量清单”。</w:t>
      </w:r>
    </w:p>
    <w:p w14:paraId="4693F60E">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 分部分项工程量清单项目特征描述是结合本工程项目的实际情况予以描述的，对清单项目的技术和质量有要求的，见招标文件技术部分。措施项目清单中通用部分遵循计价规范编制，专业工程措施项目按规定和工程实际情况确定。</w:t>
      </w:r>
    </w:p>
    <w:p w14:paraId="5828B64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招标工程量清单编制范围应与招标文件中明确的工程招标范围一致。工程量清单的组成内容应当完整、项目特征描述应准确全面，与施工图纸保持一致。</w:t>
      </w:r>
    </w:p>
    <w:p w14:paraId="2B972FCF">
      <w:pPr>
        <w:keepNext/>
        <w:keepLines/>
        <w:spacing w:before="240" w:beforeLines="100" w:after="240" w:afterLines="100"/>
        <w:outlineLvl w:val="1"/>
        <w:rPr>
          <w:rFonts w:hint="eastAsia" w:ascii="Times New Roman" w:eastAsia="黑体"/>
          <w:color w:val="000000"/>
          <w:sz w:val="32"/>
          <w:szCs w:val="32"/>
        </w:rPr>
      </w:pPr>
      <w:bookmarkStart w:id="37" w:name="_Toc14024"/>
      <w:bookmarkStart w:id="38" w:name="_Toc130919127"/>
      <w:r>
        <w:rPr>
          <w:rFonts w:hint="eastAsia" w:ascii="Times New Roman" w:eastAsia="黑体"/>
          <w:color w:val="000000"/>
          <w:sz w:val="32"/>
          <w:szCs w:val="32"/>
        </w:rPr>
        <w:t>4. 最高投标限价编制要求</w:t>
      </w:r>
      <w:bookmarkEnd w:id="37"/>
      <w:bookmarkEnd w:id="38"/>
    </w:p>
    <w:p w14:paraId="32A831CD">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 最高投标限价编制依据如下：</w:t>
      </w:r>
    </w:p>
    <w:p w14:paraId="185E032C">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（1）2018版安徽省建设工程计价依据（含修编版）及其部分修编内容、安徽省装配式建筑工程计价定额、安徽省房屋修缮工程计价定额、安徽省市政设施养护维修工程计价定额；</w:t>
      </w:r>
    </w:p>
    <w:p w14:paraId="7B11E486">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（2）关于贯彻执行2018版安徽省建设工程计价依据的通知（合造价〔2018〕13号）；</w:t>
      </w:r>
    </w:p>
    <w:p w14:paraId="0D19BC39">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（3）关于调整合肥市建设工程计价依据增值税税率的通知（合造价〔2019〕1号）； </w:t>
      </w:r>
    </w:p>
    <w:p w14:paraId="123CAE0E">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（4）关于调整合肥市建设工程不可竞争费构成及计费标准的通知（合造价〔2021〕5号）；</w:t>
      </w:r>
    </w:p>
    <w:p w14:paraId="7E94329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（5）关于合肥市建设工程人工价格信息发布及计价应用工作的通知(合造价〔2021〕8号)；</w:t>
      </w:r>
    </w:p>
    <w:p w14:paraId="2C72474A">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（6）建设工程设计文件及相关资料；</w:t>
      </w:r>
    </w:p>
    <w:p w14:paraId="7B52C8C6">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（7）与建设项目有关的标准、规范、技术资料；</w:t>
      </w:r>
    </w:p>
    <w:p w14:paraId="54912668">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（8）招标文件及招标工程量清单及其补充通知答疑纪要； </w:t>
      </w:r>
    </w:p>
    <w:p w14:paraId="057C23B4">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（9）施工现场情况、工程特点及常规施工方案；</w:t>
      </w:r>
    </w:p>
    <w:p w14:paraId="06922E4D">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（10）工程造价管理机构发布的工程造价信息；</w:t>
      </w:r>
    </w:p>
    <w:p w14:paraId="2B7E7935">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（11）施工期间的风险因素；</w:t>
      </w:r>
    </w:p>
    <w:p w14:paraId="76CE7091">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（12）其他相关材料。</w:t>
      </w:r>
    </w:p>
    <w:p w14:paraId="2726489A">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 最高投标限价为本次招标工程限定的最高投标限价，应当在工程所在地建设主管部门备案。最高投标限价不做上调或下浮。如最高投标限价超过批准的概算，招标人应将其报原概算审批部门审核。</w:t>
      </w:r>
    </w:p>
    <w:p w14:paraId="78D365D6">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 最高投标限价应采用工程单价计价，正确、全面地使用国家、省市标准、计价定额以及相关文件，成果文件质量应符合相关标准及规程的规定。最高投标限价包括分部分项工程费、措施项目费、不可竞争费、其他项目费和税金。</w:t>
      </w:r>
    </w:p>
    <w:p w14:paraId="0242FA23">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分部分项工程费按本招标文件的分部分项工程量清单的项目特征描述及有关要求，结合第4.1款编制依据确定。</w:t>
      </w:r>
    </w:p>
    <w:p w14:paraId="3AB8DA21">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（1）综合单价中人工和施工机械台班单价按省级和工程所在地的市级工程造价管理机构公布的单价计算；</w:t>
      </w:r>
    </w:p>
    <w:p w14:paraId="4275D24D">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（2）综合单价中材料、工程设备单价按省级和工程所在地的市级工程造价管理机构公布的单价以及本招标文件规定的暂估价、市场调查价格计算；</w:t>
      </w:r>
    </w:p>
    <w:p w14:paraId="6AB9D421">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（3）本招标文件中列有材料、设备暂估价的，按暂估价计算；</w:t>
      </w:r>
    </w:p>
    <w:p w14:paraId="2057862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综合单价中人工、材料和施工机械台班消耗量均按2018版安徽省建设工程计价依据（含修编版）及其部分修编内容、安徽省装配式建筑工程计价定额、安徽省房屋修缮工程计价定额、安徽省市政设施养护维修工程计价定额中定额消耗量计算；</w:t>
      </w:r>
    </w:p>
    <w:p w14:paraId="4D9046E1">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综合单价中综合费费率按2018版安徽省建设工程计价依据（含修编版）及其部分修编内容、安徽省装配式建筑工程计价定额、安徽省房屋修缮工程计价定额、安徽省市政设施养护维修工程计价定额及关于贯彻执行2018版安徽省建设工程计价依据的通知（合造价〔2018〕13号）计算；</w:t>
      </w:r>
    </w:p>
    <w:p w14:paraId="2AD2930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（6）综合单价中应包括招标文件约定的应由投标人承担的风险范围及其费用，风险按本招标文件第4.1款约定计算。</w:t>
      </w:r>
    </w:p>
    <w:p w14:paraId="0AFC56DA">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4.5 计入分部分项工程量清单中技术措施项目清单，根据拟定的招标文件和常规施工方案确定。对于施工机械设备的选型根据工程特点和施工条件，本着经济实用、先进高效的原则确定。综合单价依据项目具体情况进行合理确定，复杂项目需按专家论证后的方案确定。</w:t>
      </w:r>
    </w:p>
    <w:p w14:paraId="0BCDF71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4.6 不可竞争费（含安全文明施工费、环境保护税）按本招标文件中的不可竞争项目清单编制确定。</w:t>
      </w:r>
    </w:p>
    <w:p w14:paraId="558636C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4.7 其他项目费用应按照下列规定计价：</w:t>
      </w:r>
    </w:p>
    <w:p w14:paraId="7892BCE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（1）暂列金额按招标工程量清单中列出的金额填写；</w:t>
      </w:r>
    </w:p>
    <w:p w14:paraId="5789438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（2）专业工程暂估价按招标工程量清单中列出的金额填写；</w:t>
      </w:r>
    </w:p>
    <w:p w14:paraId="66653396">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（3）计日工按招标人列出项目和数量，结合第4.1款编制依据的要求确定综合单价并计算费用； </w:t>
      </w:r>
    </w:p>
    <w:p w14:paraId="4FB12292">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（4）总承包服务费根据招标文件列出的内容和要求计算。</w:t>
      </w:r>
    </w:p>
    <w:p w14:paraId="1BC80419">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4.8 税金（增值税）按税金项目清单，结合第4.1款编制依据的要求编制，不得降低标准。</w:t>
      </w:r>
    </w:p>
    <w:p w14:paraId="57A37C0E">
      <w:pPr>
        <w:keepNext/>
        <w:keepLines/>
        <w:spacing w:before="240" w:beforeLines="100" w:after="240" w:afterLines="100"/>
        <w:outlineLvl w:val="1"/>
        <w:rPr>
          <w:rFonts w:hint="eastAsia" w:ascii="Times New Roman" w:eastAsia="黑体"/>
          <w:color w:val="000000"/>
          <w:sz w:val="32"/>
          <w:szCs w:val="32"/>
        </w:rPr>
      </w:pPr>
      <w:bookmarkStart w:id="39" w:name="_Toc22790"/>
      <w:bookmarkStart w:id="40" w:name="_Toc130919128"/>
      <w:r>
        <w:rPr>
          <w:rFonts w:hint="eastAsia" w:ascii="Times New Roman" w:eastAsia="黑体"/>
          <w:color w:val="000000"/>
          <w:sz w:val="32"/>
          <w:szCs w:val="32"/>
        </w:rPr>
        <w:t>5. 投标报价参考编制要求</w:t>
      </w:r>
      <w:bookmarkEnd w:id="39"/>
      <w:bookmarkEnd w:id="40"/>
    </w:p>
    <w:p w14:paraId="26C5C466">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 投标报价编制参考依据如下：</w:t>
      </w:r>
    </w:p>
    <w:p w14:paraId="0F6380FF">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（1）2018版安徽省建设工程计价依据（含修编版）及其部分修编内容、安徽省装配式建筑工程计价定额、安徽省房屋修缮工程计价定额、安徽省市政设施养护维修工程计价定额；</w:t>
      </w:r>
    </w:p>
    <w:p w14:paraId="78376953">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（2）关于贯彻执行2018版安徽省建设工程计价依据的通知（合造价〔2018〕13号）；</w:t>
      </w:r>
    </w:p>
    <w:p w14:paraId="57420978">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（3）关于调整合肥市建设工程计价依据增值税税率的通知（合造价〔2019〕1号）； </w:t>
      </w:r>
    </w:p>
    <w:p w14:paraId="10286806">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（4）关于调整合肥市建设工程不可竞争费构成及计费标准的通知（合造价〔2021〕5号）；</w:t>
      </w:r>
    </w:p>
    <w:p w14:paraId="40659FF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（5）关于合肥市建设工程人工价格信息发布及计价应用工作的通知(合造价〔2021〕8号)；</w:t>
      </w:r>
    </w:p>
    <w:p w14:paraId="52316149">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（6）建设工程设计文件及相关资料；</w:t>
      </w:r>
    </w:p>
    <w:p w14:paraId="1DE7A551">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（7）与建设项目有关的标准、规范、技术资料；</w:t>
      </w:r>
    </w:p>
    <w:p w14:paraId="7170DDB0">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（8）招标文件及招标工程量清单及其补充通知答疑纪要； </w:t>
      </w:r>
    </w:p>
    <w:p w14:paraId="54EFF96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（9）施工现场情况、工程特点及拟定的投标施工组织设计；</w:t>
      </w:r>
    </w:p>
    <w:p w14:paraId="0E042ABD">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（10）市场价格信息或参照工程造价管理机构发布的工程造价信息；</w:t>
      </w:r>
    </w:p>
    <w:p w14:paraId="4B58A98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（11）合同执行期间由投标人承担的风险因素；</w:t>
      </w:r>
    </w:p>
    <w:p w14:paraId="028CD416">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（12）其他相关材料。</w:t>
      </w:r>
    </w:p>
    <w:p w14:paraId="602EE16C">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 投标人应仔细阅读招标文件，了解拟投标合同段的全部工程内容。投标人的投标报价应是招标文件所确定的招标范围内全部工程内容的价格体现，但其投标报价不得低于投标人个别成本价。</w:t>
      </w:r>
    </w:p>
    <w:p w14:paraId="794B7EE5">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 投标人应按招标人提供的招标工程量清单填报综合单价和合价，未填报的综合单价和合价，视为此项费用已合在工程量清单的其他综合单价和合价中。</w:t>
      </w:r>
    </w:p>
    <w:p w14:paraId="57087A78">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5.4 分部分项工程费根据招标文件中的工程量清单项目及项目特征描述等确定综合单价。其中综合单价是指完成一个规定清单项目所需的人工费、材料和工程设备费、施工机具使用费和综合费（企业管理费和利润）以及一定范围内投标人承担的风险费用。</w:t>
      </w:r>
    </w:p>
    <w:p w14:paraId="7143129E">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5.5 措施项目费依据第5.1款编制依据确定。</w:t>
      </w:r>
    </w:p>
    <w:p w14:paraId="4D8A15C6">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5.6 不可竞争费（含安全文明施工费、环境保护税）根据工程量清单不可竞争项目，结合第5.1款编制依据确定，安全文明施工费费率不得调整。</w:t>
      </w:r>
    </w:p>
    <w:p w14:paraId="6742C968">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5.7 其他项目费用应按照下列规定计价：</w:t>
      </w:r>
    </w:p>
    <w:p w14:paraId="6416CCB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（1）暂列金额按招标工程量清单中列出的金额填写，不得更改；</w:t>
      </w:r>
    </w:p>
    <w:p w14:paraId="7C449BAE">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（2）专业工程暂估价按招标工程量清单中列出的金额填写，不得更改；</w:t>
      </w:r>
    </w:p>
    <w:p w14:paraId="35A6064C">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（3）计日工按招标人列出项目和数量，结合第5.1款编制依据的要求确定综合单价并计算费用； </w:t>
      </w:r>
    </w:p>
    <w:p w14:paraId="2785B237">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（4）总承包服务费根据招标文件列出的内容和要求计算。</w:t>
      </w:r>
    </w:p>
    <w:p w14:paraId="0D9266D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5.8 税金（增值税）按税金项目清单，结合第5.1款编制依据的要求编制，不得调整。</w:t>
      </w:r>
    </w:p>
    <w:p w14:paraId="739778C6">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5.9 投标报价编制注意事项</w:t>
      </w:r>
    </w:p>
    <w:p w14:paraId="263A99FC">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除可调整价格的主要材料和甲供材及实行暂估价的材料及设备以外，其他由投标人自行采购的材料确定投标报价时应充分考虑材料价格上涨等市场风险因素，中标后不作调整，综合单价中的材料费应包含材料运杂费、采保费等一切应有费用；</w:t>
      </w:r>
    </w:p>
    <w:p w14:paraId="389531CC">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（2）结算时实行暂估价的材料和设备的价差仅计取税金，不再计取其他费用；</w:t>
      </w:r>
    </w:p>
    <w:p w14:paraId="570C8EE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本招标工程的施工地点为本须知前附表所述，投标人应自行到施工现场踏勘以充分了解工地位置、情况、道路、储存空间、装卸限制及任何其他足以影响投标报价的情况，任何因忽视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14:paraId="77559E1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14:paraId="2994B733">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招标人对异议或修正要求应进行核实，确认工程量清单项目误差在±3%（含±3%）以内的，招标人可不予调整工程量，投标人应将其误差考虑在综合单价内；若有遗漏项目或清单项目工程量误差超过±3%的，招标人应进行修正并重新公布准确的工程量清单；</w:t>
      </w:r>
    </w:p>
    <w:p w14:paraId="79A76ACB">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（6）除合同另有约定外，中标人在工程量清单报价书中所报的综合单价在施工图纸和合同约定范围一律不予调整；</w:t>
      </w:r>
    </w:p>
    <w:p w14:paraId="3E75A761">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（7）本招标工程不接受恶意不平衡报价。</w:t>
      </w:r>
    </w:p>
    <w:p w14:paraId="3CBFFE60">
      <w:pPr>
        <w:keepNext/>
        <w:keepLines/>
        <w:spacing w:before="240" w:beforeLines="100" w:after="240" w:afterLines="100"/>
        <w:outlineLvl w:val="1"/>
        <w:rPr>
          <w:rFonts w:hint="eastAsia" w:ascii="Times New Roman" w:eastAsia="黑体"/>
          <w:color w:val="000000"/>
          <w:sz w:val="32"/>
          <w:szCs w:val="32"/>
        </w:rPr>
      </w:pPr>
      <w:bookmarkStart w:id="41" w:name="_Toc130919129"/>
      <w:bookmarkStart w:id="42" w:name="_Toc9004"/>
      <w:r>
        <w:rPr>
          <w:rFonts w:hint="eastAsia" w:ascii="Times New Roman" w:eastAsia="黑体"/>
          <w:color w:val="000000"/>
          <w:sz w:val="32"/>
          <w:szCs w:val="32"/>
        </w:rPr>
        <w:t>6. 工程量清单</w:t>
      </w:r>
      <w:bookmarkEnd w:id="41"/>
      <w:bookmarkEnd w:id="42"/>
    </w:p>
    <w:p w14:paraId="59F32383">
      <w:pPr>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无</w:t>
      </w:r>
    </w:p>
    <w:p w14:paraId="642AD59C">
      <w:pPr>
        <w:adjustRightInd w:val="0"/>
        <w:snapToGrid w:val="0"/>
        <w:spacing w:line="360" w:lineRule="auto"/>
        <w:ind w:firstLine="480" w:firstLineChars="200"/>
        <w:rPr>
          <w:rFonts w:hint="eastAsia" w:ascii="宋体" w:hAnsi="宋体" w:eastAsia="宋体" w:cs="宋体"/>
          <w:color w:val="000000"/>
          <w:sz w:val="24"/>
          <w:szCs w:val="24"/>
        </w:rPr>
      </w:pPr>
    </w:p>
    <w:p w14:paraId="3AEA6327">
      <w:pPr>
        <w:adjustRightInd w:val="0"/>
        <w:snapToGrid w:val="0"/>
        <w:spacing w:line="360" w:lineRule="auto"/>
        <w:ind w:firstLine="480" w:firstLineChars="200"/>
        <w:rPr>
          <w:rFonts w:hint="default" w:ascii="宋体" w:hAnsi="宋体" w:eastAsia="宋体" w:cs="宋体"/>
          <w:color w:val="000000"/>
          <w:sz w:val="24"/>
          <w:szCs w:val="24"/>
          <w:lang w:val="en-US" w:eastAsia="zh-CN"/>
        </w:rPr>
      </w:pPr>
    </w:p>
    <w:p w14:paraId="2E9F34EA">
      <w:pPr>
        <w:pStyle w:val="20"/>
        <w:rPr>
          <w:rFonts w:hint="default" w:ascii="宋体" w:hAnsi="宋体" w:eastAsia="宋体" w:cs="宋体"/>
          <w:color w:val="000000"/>
          <w:sz w:val="24"/>
          <w:szCs w:val="24"/>
          <w:lang w:val="en-US" w:eastAsia="zh-CN"/>
        </w:rPr>
      </w:pPr>
    </w:p>
    <w:p w14:paraId="4ACD5F81">
      <w:pPr>
        <w:pStyle w:val="7"/>
        <w:rPr>
          <w:rFonts w:hint="default" w:ascii="宋体" w:hAnsi="宋体" w:eastAsia="宋体" w:cs="宋体"/>
          <w:color w:val="000000"/>
          <w:sz w:val="24"/>
          <w:szCs w:val="24"/>
          <w:lang w:val="en-US" w:eastAsia="zh-CN"/>
        </w:rPr>
      </w:pPr>
    </w:p>
    <w:p w14:paraId="53B5A2A7">
      <w:pPr>
        <w:pStyle w:val="8"/>
        <w:rPr>
          <w:rFonts w:hint="default" w:ascii="宋体" w:hAnsi="宋体" w:eastAsia="宋体" w:cs="宋体"/>
          <w:color w:val="000000"/>
          <w:sz w:val="24"/>
          <w:szCs w:val="24"/>
          <w:lang w:val="en-US" w:eastAsia="zh-CN"/>
        </w:rPr>
      </w:pPr>
    </w:p>
    <w:p w14:paraId="0193DBC7">
      <w:pPr>
        <w:pStyle w:val="8"/>
        <w:rPr>
          <w:rFonts w:hint="default" w:ascii="宋体" w:hAnsi="宋体" w:eastAsia="宋体" w:cs="宋体"/>
          <w:color w:val="000000"/>
          <w:sz w:val="24"/>
          <w:szCs w:val="24"/>
          <w:lang w:val="en-US" w:eastAsia="zh-CN"/>
        </w:rPr>
      </w:pPr>
    </w:p>
    <w:p w14:paraId="4C97D9C1">
      <w:pPr>
        <w:pStyle w:val="8"/>
        <w:rPr>
          <w:rFonts w:hint="default" w:ascii="宋体" w:hAnsi="宋体" w:eastAsia="宋体" w:cs="宋体"/>
          <w:color w:val="000000"/>
          <w:sz w:val="24"/>
          <w:szCs w:val="24"/>
          <w:lang w:val="en-US" w:eastAsia="zh-CN"/>
        </w:rPr>
      </w:pPr>
    </w:p>
    <w:p w14:paraId="72D7CE72">
      <w:pPr>
        <w:pStyle w:val="8"/>
        <w:rPr>
          <w:rFonts w:hint="default" w:ascii="宋体" w:hAnsi="宋体" w:eastAsia="宋体" w:cs="宋体"/>
          <w:color w:val="000000"/>
          <w:sz w:val="24"/>
          <w:szCs w:val="24"/>
          <w:lang w:val="en-US" w:eastAsia="zh-CN"/>
        </w:rPr>
      </w:pPr>
    </w:p>
    <w:p w14:paraId="30200C12">
      <w:pPr>
        <w:pStyle w:val="8"/>
        <w:rPr>
          <w:rFonts w:hint="default" w:ascii="宋体" w:hAnsi="宋体" w:eastAsia="宋体" w:cs="宋体"/>
          <w:color w:val="000000"/>
          <w:sz w:val="24"/>
          <w:szCs w:val="24"/>
          <w:lang w:val="en-US" w:eastAsia="zh-CN"/>
        </w:rPr>
      </w:pPr>
    </w:p>
    <w:p w14:paraId="5E882233">
      <w:pPr>
        <w:pStyle w:val="8"/>
        <w:rPr>
          <w:rFonts w:hint="default" w:ascii="宋体" w:hAnsi="宋体" w:eastAsia="宋体" w:cs="宋体"/>
          <w:color w:val="000000"/>
          <w:sz w:val="24"/>
          <w:szCs w:val="24"/>
          <w:lang w:val="en-US" w:eastAsia="zh-CN"/>
        </w:rPr>
      </w:pPr>
    </w:p>
    <w:p w14:paraId="000D02D5">
      <w:pPr>
        <w:pStyle w:val="8"/>
        <w:rPr>
          <w:rFonts w:hint="default" w:ascii="宋体" w:hAnsi="宋体" w:eastAsia="宋体" w:cs="宋体"/>
          <w:color w:val="000000"/>
          <w:sz w:val="24"/>
          <w:szCs w:val="24"/>
          <w:lang w:val="en-US" w:eastAsia="zh-CN"/>
        </w:rPr>
      </w:pPr>
    </w:p>
    <w:p w14:paraId="4F45DBB0">
      <w:pPr>
        <w:pStyle w:val="8"/>
        <w:rPr>
          <w:rFonts w:hint="default" w:ascii="宋体" w:hAnsi="宋体" w:eastAsia="宋体" w:cs="宋体"/>
          <w:color w:val="000000"/>
          <w:sz w:val="24"/>
          <w:szCs w:val="24"/>
          <w:lang w:val="en-US" w:eastAsia="zh-CN"/>
        </w:rPr>
      </w:pPr>
    </w:p>
    <w:p w14:paraId="599AA0EA">
      <w:pPr>
        <w:pStyle w:val="8"/>
        <w:rPr>
          <w:rFonts w:hint="default" w:ascii="宋体" w:hAnsi="宋体" w:eastAsia="宋体" w:cs="宋体"/>
          <w:color w:val="000000"/>
          <w:sz w:val="24"/>
          <w:szCs w:val="24"/>
          <w:lang w:val="en-US" w:eastAsia="zh-CN"/>
        </w:rPr>
      </w:pPr>
    </w:p>
    <w:p w14:paraId="333B08AA">
      <w:pPr>
        <w:pStyle w:val="8"/>
        <w:rPr>
          <w:rFonts w:hint="default" w:ascii="宋体" w:hAnsi="宋体" w:eastAsia="宋体" w:cs="宋体"/>
          <w:color w:val="000000"/>
          <w:sz w:val="24"/>
          <w:szCs w:val="24"/>
          <w:lang w:val="en-US" w:eastAsia="zh-CN"/>
        </w:rPr>
      </w:pPr>
    </w:p>
    <w:p w14:paraId="47D4745E">
      <w:pPr>
        <w:pStyle w:val="8"/>
        <w:rPr>
          <w:rFonts w:hint="default" w:ascii="宋体" w:hAnsi="宋体" w:eastAsia="宋体" w:cs="宋体"/>
          <w:color w:val="000000"/>
          <w:sz w:val="24"/>
          <w:szCs w:val="24"/>
          <w:lang w:val="en-US" w:eastAsia="zh-CN"/>
        </w:rPr>
      </w:pPr>
    </w:p>
    <w:p w14:paraId="1E9E6E80">
      <w:pPr>
        <w:pStyle w:val="3"/>
        <w:spacing w:before="240" w:beforeLines="100" w:after="240" w:afterLines="100" w:line="240" w:lineRule="auto"/>
        <w:jc w:val="center"/>
        <w:rPr>
          <w:rFonts w:hint="eastAsia" w:ascii="宋体" w:hAnsi="宋体" w:eastAsia="宋体" w:cs="宋体"/>
          <w:b/>
          <w:bCs/>
          <w:color w:val="000000"/>
          <w:sz w:val="28"/>
          <w:szCs w:val="28"/>
        </w:rPr>
      </w:pPr>
      <w:bookmarkStart w:id="43" w:name="_Toc130919130"/>
    </w:p>
    <w:p w14:paraId="6961FD81">
      <w:pPr>
        <w:pStyle w:val="3"/>
        <w:spacing w:before="240" w:beforeLines="100" w:after="240" w:afterLines="100" w:line="240" w:lineRule="auto"/>
        <w:jc w:val="both"/>
        <w:rPr>
          <w:rFonts w:hint="eastAsia" w:ascii="宋体" w:hAnsi="宋体" w:eastAsia="宋体" w:cs="宋体"/>
          <w:b/>
          <w:bCs/>
          <w:color w:val="000000"/>
          <w:sz w:val="28"/>
          <w:szCs w:val="28"/>
        </w:rPr>
      </w:pPr>
    </w:p>
    <w:p w14:paraId="69A39113">
      <w:pPr>
        <w:pStyle w:val="3"/>
        <w:spacing w:before="240" w:beforeLines="100" w:after="240" w:afterLines="100" w:line="240" w:lineRule="auto"/>
        <w:jc w:val="both"/>
        <w:rPr>
          <w:rFonts w:hint="eastAsia" w:ascii="宋体" w:hAnsi="宋体" w:eastAsia="宋体" w:cs="宋体"/>
          <w:b/>
          <w:bCs/>
          <w:color w:val="000000"/>
          <w:sz w:val="28"/>
          <w:szCs w:val="28"/>
        </w:rPr>
      </w:pPr>
    </w:p>
    <w:p w14:paraId="4DE72B5C">
      <w:pPr>
        <w:rPr>
          <w:rFonts w:hint="eastAsia"/>
        </w:rPr>
      </w:pPr>
    </w:p>
    <w:p w14:paraId="577C16F3">
      <w:pPr>
        <w:pStyle w:val="3"/>
        <w:spacing w:before="240" w:beforeLines="100" w:after="240" w:afterLines="100" w:line="24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第六章  图纸</w:t>
      </w:r>
      <w:bookmarkEnd w:id="43"/>
    </w:p>
    <w:p w14:paraId="3541798C">
      <w:pPr>
        <w:pStyle w:val="8"/>
        <w:jc w:val="center"/>
        <w:rPr>
          <w:rFonts w:hint="eastAsia" w:ascii="宋体" w:hAnsi="宋体" w:eastAsia="宋体" w:cs="宋体"/>
          <w:b w:val="0"/>
          <w:bCs w:val="0"/>
          <w:color w:val="000000"/>
          <w:sz w:val="24"/>
          <w:szCs w:val="24"/>
          <w:lang w:eastAsia="zh-CN"/>
        </w:rPr>
      </w:pPr>
      <w:r>
        <w:rPr>
          <w:rFonts w:hint="eastAsia" w:hAnsi="宋体" w:eastAsia="宋体" w:cs="宋体"/>
          <w:b w:val="0"/>
          <w:bCs w:val="0"/>
          <w:color w:val="000000"/>
          <w:sz w:val="24"/>
          <w:szCs w:val="24"/>
          <w:lang w:val="en-US" w:eastAsia="zh-CN"/>
        </w:rPr>
        <w:t>无</w:t>
      </w:r>
    </w:p>
    <w:p w14:paraId="7FB4BE6E">
      <w:pPr>
        <w:pStyle w:val="8"/>
        <w:jc w:val="center"/>
        <w:rPr>
          <w:rFonts w:hint="eastAsia" w:ascii="宋体" w:hAnsi="宋体" w:eastAsia="宋体" w:cs="宋体"/>
          <w:b w:val="0"/>
          <w:bCs w:val="0"/>
          <w:color w:val="000000"/>
          <w:sz w:val="24"/>
          <w:szCs w:val="24"/>
        </w:rPr>
      </w:pPr>
    </w:p>
    <w:p w14:paraId="0D96CFFD">
      <w:pPr>
        <w:pStyle w:val="8"/>
        <w:jc w:val="center"/>
        <w:rPr>
          <w:rFonts w:hint="eastAsia" w:ascii="宋体" w:hAnsi="宋体" w:eastAsia="宋体" w:cs="宋体"/>
          <w:b w:val="0"/>
          <w:bCs w:val="0"/>
          <w:color w:val="000000"/>
          <w:sz w:val="24"/>
          <w:szCs w:val="24"/>
        </w:rPr>
      </w:pPr>
    </w:p>
    <w:p w14:paraId="4C897AD9">
      <w:pPr>
        <w:pStyle w:val="8"/>
        <w:jc w:val="center"/>
        <w:rPr>
          <w:rFonts w:hint="eastAsia" w:ascii="宋体" w:hAnsi="宋体" w:eastAsia="宋体" w:cs="宋体"/>
          <w:b w:val="0"/>
          <w:bCs w:val="0"/>
          <w:color w:val="000000"/>
          <w:sz w:val="24"/>
          <w:szCs w:val="24"/>
        </w:rPr>
      </w:pPr>
    </w:p>
    <w:p w14:paraId="6FAE80AE">
      <w:pPr>
        <w:pStyle w:val="8"/>
        <w:jc w:val="center"/>
        <w:rPr>
          <w:rFonts w:hint="eastAsia" w:ascii="宋体" w:hAnsi="宋体" w:eastAsia="宋体" w:cs="宋体"/>
          <w:b w:val="0"/>
          <w:bCs w:val="0"/>
          <w:color w:val="000000"/>
          <w:sz w:val="24"/>
          <w:szCs w:val="24"/>
        </w:rPr>
      </w:pPr>
    </w:p>
    <w:p w14:paraId="082830B5">
      <w:pPr>
        <w:pStyle w:val="8"/>
        <w:jc w:val="center"/>
        <w:rPr>
          <w:rFonts w:hint="eastAsia" w:ascii="宋体" w:hAnsi="宋体" w:eastAsia="宋体" w:cs="宋体"/>
          <w:b w:val="0"/>
          <w:bCs w:val="0"/>
          <w:color w:val="000000"/>
          <w:sz w:val="24"/>
          <w:szCs w:val="24"/>
        </w:rPr>
      </w:pPr>
    </w:p>
    <w:p w14:paraId="4854CC98">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bookmarkStart w:id="44" w:name="_Toc130919131"/>
    </w:p>
    <w:p w14:paraId="5CCAC8D2">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14:paraId="78D3F04A">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14:paraId="2C6F3C7B">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14:paraId="7988BF59">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14:paraId="2A9C9734">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14:paraId="47935365">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14:paraId="35766A99">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14:paraId="0529D6C9">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14:paraId="225C6D91">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14:paraId="5015F781">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14:paraId="7E814B28">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14:paraId="5B506D6D">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14:paraId="0B165603">
      <w:pPr>
        <w:pStyle w:val="8"/>
        <w:numPr>
          <w:ilvl w:val="0"/>
          <w:numId w:val="0"/>
        </w:numPr>
        <w:ind w:left="0" w:leftChars="0" w:firstLine="0" w:firstLineChars="0"/>
        <w:jc w:val="both"/>
        <w:rPr>
          <w:rFonts w:hint="eastAsia" w:ascii="宋体" w:hAnsi="宋体" w:eastAsia="宋体" w:cs="宋体"/>
          <w:b/>
          <w:bCs/>
          <w:color w:val="000000"/>
          <w:spacing w:val="-20"/>
          <w:kern w:val="20"/>
          <w:sz w:val="28"/>
          <w:szCs w:val="28"/>
          <w:lang w:val="en-US" w:eastAsia="zh-CN" w:bidi="ar-SA"/>
        </w:rPr>
      </w:pPr>
    </w:p>
    <w:p w14:paraId="66439946">
      <w:pPr>
        <w:pStyle w:val="8"/>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14:paraId="43DE4A0F">
      <w:pPr>
        <w:pStyle w:val="8"/>
        <w:numPr>
          <w:ilvl w:val="0"/>
          <w:numId w:val="0"/>
        </w:numPr>
        <w:ind w:left="0" w:leftChars="0" w:firstLine="0" w:firstLineChars="0"/>
        <w:jc w:val="center"/>
        <w:rPr>
          <w:rFonts w:hint="eastAsia" w:ascii="宋体" w:hAnsi="宋体" w:eastAsia="宋体" w:cs="宋体"/>
          <w:b/>
          <w:bCs/>
          <w:color w:val="000000"/>
          <w:sz w:val="28"/>
          <w:szCs w:val="28"/>
        </w:rPr>
      </w:pPr>
      <w:r>
        <w:rPr>
          <w:rFonts w:hint="eastAsia" w:ascii="宋体" w:hAnsi="宋体" w:eastAsia="宋体" w:cs="宋体"/>
          <w:b/>
          <w:bCs/>
          <w:color w:val="000000"/>
          <w:spacing w:val="-20"/>
          <w:kern w:val="20"/>
          <w:sz w:val="28"/>
          <w:szCs w:val="28"/>
          <w:lang w:val="en-US" w:eastAsia="zh-CN" w:bidi="ar-SA"/>
        </w:rPr>
        <w:t>第</w:t>
      </w:r>
      <w:r>
        <w:rPr>
          <w:rFonts w:hint="eastAsia" w:hAnsi="宋体" w:eastAsia="宋体" w:cs="宋体"/>
          <w:b/>
          <w:bCs/>
          <w:color w:val="000000"/>
          <w:spacing w:val="-20"/>
          <w:kern w:val="20"/>
          <w:sz w:val="28"/>
          <w:szCs w:val="28"/>
          <w:lang w:val="en-US" w:eastAsia="zh-CN" w:bidi="ar-SA"/>
        </w:rPr>
        <w:t>七</w:t>
      </w:r>
      <w:r>
        <w:rPr>
          <w:rFonts w:hint="eastAsia" w:ascii="宋体" w:hAnsi="宋体" w:eastAsia="宋体" w:cs="宋体"/>
          <w:b/>
          <w:bCs/>
          <w:color w:val="000000"/>
          <w:spacing w:val="-20"/>
          <w:kern w:val="20"/>
          <w:sz w:val="28"/>
          <w:szCs w:val="28"/>
          <w:lang w:val="en-US" w:eastAsia="zh-CN" w:bidi="ar-SA"/>
        </w:rPr>
        <w:t>章</w:t>
      </w:r>
      <w:r>
        <w:rPr>
          <w:rFonts w:hint="eastAsia" w:ascii="宋体" w:hAnsi="宋体" w:eastAsia="宋体" w:cs="宋体"/>
          <w:b/>
          <w:bCs/>
          <w:color w:val="000000"/>
          <w:sz w:val="28"/>
          <w:szCs w:val="28"/>
        </w:rPr>
        <w:t xml:space="preserve"> 技术标准和要求</w:t>
      </w:r>
      <w:bookmarkEnd w:id="44"/>
    </w:p>
    <w:p w14:paraId="79877312">
      <w:pPr>
        <w:snapToGrid w:val="0"/>
        <w:spacing w:line="360" w:lineRule="auto"/>
        <w:ind w:firstLine="482" w:firstLineChars="200"/>
        <w:outlineLvl w:val="1"/>
        <w:rPr>
          <w:rFonts w:hint="eastAsia" w:ascii="宋体" w:hAnsi="宋体" w:eastAsia="宋体" w:cs="宋体"/>
          <w:b/>
          <w:color w:val="000000"/>
          <w:sz w:val="24"/>
          <w:szCs w:val="24"/>
        </w:rPr>
      </w:pPr>
      <w:bookmarkStart w:id="45" w:name="_Toc130919132"/>
      <w:bookmarkStart w:id="46" w:name="_Toc128950260"/>
      <w:bookmarkStart w:id="47" w:name="_Toc27195"/>
      <w:bookmarkStart w:id="48" w:name="_Toc25376"/>
      <w:r>
        <w:rPr>
          <w:rFonts w:hint="eastAsia" w:ascii="宋体" w:hAnsi="宋体" w:eastAsia="宋体" w:cs="宋体"/>
          <w:b/>
          <w:color w:val="000000"/>
          <w:sz w:val="24"/>
          <w:szCs w:val="24"/>
        </w:rPr>
        <w:t>1. 一般要求</w:t>
      </w:r>
      <w:bookmarkEnd w:id="45"/>
    </w:p>
    <w:p w14:paraId="0C170AC4">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本招标工程项目施工、验收须达到设计文件的要求和国家及有关部委、安徽省、项目所在市现行的工程建设标准、规范、规定的要求（文件标准之间相互冲突的，以标准较高者为准）</w:t>
      </w:r>
      <w:r>
        <w:rPr>
          <w:rFonts w:hint="eastAsia" w:ascii="宋体" w:hAnsi="宋体" w:eastAsia="宋体" w:cs="宋体"/>
          <w:color w:val="000000"/>
          <w:sz w:val="24"/>
          <w:szCs w:val="24"/>
        </w:rPr>
        <w:t>；</w:t>
      </w:r>
    </w:p>
    <w:p w14:paraId="0A7C6816">
      <w:pPr>
        <w:snapToGrid w:val="0"/>
        <w:spacing w:line="360" w:lineRule="auto"/>
        <w:ind w:firstLine="482" w:firstLineChars="200"/>
        <w:outlineLvl w:val="1"/>
        <w:rPr>
          <w:rFonts w:hint="eastAsia" w:ascii="宋体" w:hAnsi="宋体" w:eastAsia="宋体" w:cs="宋体"/>
          <w:b/>
          <w:color w:val="000000"/>
          <w:sz w:val="24"/>
          <w:szCs w:val="24"/>
        </w:rPr>
      </w:pPr>
      <w:bookmarkStart w:id="49" w:name="_Toc130919133"/>
      <w:r>
        <w:rPr>
          <w:rFonts w:hint="eastAsia" w:ascii="宋体" w:hAnsi="宋体" w:eastAsia="宋体" w:cs="宋体"/>
          <w:b/>
          <w:color w:val="000000"/>
          <w:sz w:val="24"/>
          <w:szCs w:val="24"/>
        </w:rPr>
        <w:t>2. 特殊技术标准和要求</w:t>
      </w:r>
      <w:bookmarkEnd w:id="49"/>
    </w:p>
    <w:p w14:paraId="514A4438">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详见招标项目施工图纸及相关补疑</w:t>
      </w:r>
      <w:r>
        <w:rPr>
          <w:rFonts w:hint="eastAsia" w:ascii="宋体" w:hAnsi="宋体" w:eastAsia="宋体" w:cs="宋体"/>
          <w:color w:val="000000"/>
          <w:sz w:val="24"/>
          <w:szCs w:val="24"/>
        </w:rPr>
        <w:t>；</w:t>
      </w:r>
    </w:p>
    <w:p w14:paraId="5F6DF810">
      <w:pPr>
        <w:snapToGrid w:val="0"/>
        <w:spacing w:line="360" w:lineRule="auto"/>
        <w:ind w:firstLine="482" w:firstLineChars="200"/>
        <w:outlineLvl w:val="1"/>
        <w:rPr>
          <w:rFonts w:hint="eastAsia" w:ascii="宋体" w:hAnsi="宋体" w:eastAsia="宋体" w:cs="宋体"/>
          <w:b/>
          <w:color w:val="000000"/>
          <w:sz w:val="24"/>
          <w:szCs w:val="24"/>
        </w:rPr>
      </w:pPr>
      <w:bookmarkStart w:id="50" w:name="_Toc130919134"/>
      <w:r>
        <w:rPr>
          <w:rFonts w:hint="eastAsia" w:ascii="宋体" w:hAnsi="宋体" w:eastAsia="宋体" w:cs="宋体"/>
          <w:b/>
          <w:color w:val="000000"/>
          <w:sz w:val="24"/>
          <w:szCs w:val="24"/>
        </w:rPr>
        <w:t>3. 适用的国家、行业以及地方标准、规范和规程</w:t>
      </w:r>
      <w:bookmarkEnd w:id="50"/>
    </w:p>
    <w:bookmarkEnd w:id="46"/>
    <w:bookmarkEnd w:id="47"/>
    <w:bookmarkEnd w:id="48"/>
    <w:p w14:paraId="36D697D2">
      <w:pPr>
        <w:adjustRightInd w:val="0"/>
        <w:snapToGrid w:val="0"/>
        <w:spacing w:line="360" w:lineRule="auto"/>
        <w:ind w:firstLine="482" w:firstLineChars="200"/>
        <w:rPr>
          <w:rFonts w:hint="eastAsia" w:ascii="宋体" w:hAnsi="宋体" w:eastAsia="宋体" w:cs="宋体"/>
          <w:color w:val="000000"/>
          <w:sz w:val="24"/>
          <w:szCs w:val="24"/>
        </w:rPr>
      </w:pPr>
      <w:bookmarkStart w:id="51" w:name="_Toc130919135"/>
      <w:r>
        <w:rPr>
          <w:rFonts w:hint="eastAsia" w:ascii="宋体" w:hAnsi="宋体" w:eastAsia="宋体" w:cs="宋体"/>
          <w:b/>
          <w:bCs/>
          <w:color w:val="000000"/>
          <w:sz w:val="24"/>
          <w:szCs w:val="24"/>
          <w:lang w:val="en-US" w:eastAsia="zh-CN"/>
        </w:rPr>
        <w:t>详见招标项目施工图纸及相关补疑</w:t>
      </w:r>
      <w:r>
        <w:rPr>
          <w:rFonts w:hint="eastAsia" w:ascii="宋体" w:hAnsi="宋体" w:eastAsia="宋体" w:cs="宋体"/>
          <w:color w:val="000000"/>
          <w:sz w:val="24"/>
          <w:szCs w:val="24"/>
        </w:rPr>
        <w:t>；</w:t>
      </w:r>
    </w:p>
    <w:p w14:paraId="367B6C59">
      <w:pPr>
        <w:snapToGrid w:val="0"/>
        <w:spacing w:line="360" w:lineRule="auto"/>
        <w:ind w:firstLine="482" w:firstLineChars="200"/>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4. 重点难点及危险性较大的分部分项工程</w:t>
      </w:r>
      <w:bookmarkEnd w:id="51"/>
    </w:p>
    <w:p w14:paraId="3E80B4AD">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（1）本招标项目重点难点：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48CAF5C">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（2）本招标项目危险性较大的分部分项工程清单：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80592AA">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（3）其他要求：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8CAF115">
      <w:pPr>
        <w:snapToGrid w:val="0"/>
        <w:spacing w:line="360" w:lineRule="auto"/>
        <w:ind w:firstLine="482" w:firstLineChars="200"/>
        <w:outlineLvl w:val="1"/>
        <w:rPr>
          <w:rFonts w:hint="eastAsia" w:ascii="宋体" w:hAnsi="宋体" w:eastAsia="宋体" w:cs="宋体"/>
          <w:b/>
          <w:color w:val="000000"/>
          <w:sz w:val="24"/>
          <w:szCs w:val="24"/>
        </w:rPr>
      </w:pPr>
      <w:bookmarkStart w:id="52" w:name="_Toc15876"/>
      <w:bookmarkStart w:id="53" w:name="_Toc14360"/>
      <w:bookmarkStart w:id="54" w:name="_Toc130919136"/>
      <w:bookmarkStart w:id="55" w:name="_Toc128950261"/>
      <w:r>
        <w:rPr>
          <w:rFonts w:hint="eastAsia" w:ascii="宋体" w:hAnsi="宋体" w:eastAsia="宋体" w:cs="宋体"/>
          <w:b/>
          <w:color w:val="000000"/>
          <w:sz w:val="24"/>
          <w:szCs w:val="24"/>
        </w:rPr>
        <w:t>5. 材料与设备要求</w:t>
      </w:r>
      <w:bookmarkEnd w:id="52"/>
      <w:bookmarkEnd w:id="53"/>
      <w:bookmarkEnd w:id="54"/>
      <w:bookmarkEnd w:id="55"/>
    </w:p>
    <w:p w14:paraId="7AD0BDBD">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（1）甲供材料由招标人提供，其他材料由中标人自行采购，</w:t>
      </w:r>
    </w:p>
    <w:p w14:paraId="7A8C9E59">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其中甲供材料（如有）：</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p>
    <w:p w14:paraId="3A6D157E">
      <w:pPr>
        <w:numPr>
          <w:ilvl w:val="0"/>
          <w:numId w:val="0"/>
        </w:num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20"/>
          <w:sz w:val="24"/>
          <w:szCs w:val="24"/>
          <w:lang w:val="en-US" w:eastAsia="zh-CN" w:bidi="ar-SA"/>
        </w:rPr>
        <w:t>（2）</w:t>
      </w:r>
      <w:r>
        <w:rPr>
          <w:rFonts w:hint="eastAsia" w:ascii="宋体" w:hAnsi="宋体" w:eastAsia="宋体" w:cs="宋体"/>
          <w:color w:val="000000"/>
          <w:sz w:val="24"/>
          <w:szCs w:val="24"/>
        </w:rPr>
        <w:t>参考品牌：</w:t>
      </w:r>
      <w:r>
        <w:rPr>
          <w:rFonts w:hint="eastAsia" w:ascii="宋体" w:hAnsi="宋体" w:eastAsia="宋体" w:cs="宋体"/>
          <w:color w:val="000000"/>
          <w:sz w:val="24"/>
          <w:szCs w:val="24"/>
          <w:lang w:val="en-US" w:eastAsia="zh-CN"/>
        </w:rPr>
        <w:t>无。</w:t>
      </w:r>
    </w:p>
    <w:p w14:paraId="0AE84422">
      <w:pPr>
        <w:numPr>
          <w:ilvl w:val="0"/>
          <w:numId w:val="0"/>
        </w:num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参考品牌不得少于三个，对于招标人参考品牌的材料、设备，投标人可选用参考品牌或不低于参考品牌技术性能指标的其他品牌；采用其他品牌的应在报价文件《招标人参考的材料品牌响应表》中注明并提供相关技术性能指标、业绩等供评标委员会评审，未在《招标人参考的材料品牌响应表》中注明且未提供相关技术性能指标、业绩，或经评标委员会评审未通过的，中标后只能从招标人参考品牌中进行选择，合同价格不予调整。</w:t>
      </w:r>
    </w:p>
    <w:p w14:paraId="19A1DE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如图纸中出现特定性、唯一性品牌的表述，该品牌仅作为参考，施工过程中不具有限定性。</w:t>
      </w:r>
    </w:p>
    <w:p w14:paraId="38E59532">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bookmarkStart w:id="56" w:name="_Toc5973"/>
      <w:bookmarkStart w:id="57" w:name="_Toc32732"/>
      <w:bookmarkStart w:id="58" w:name="_Toc128950262"/>
      <w:r>
        <w:rPr>
          <w:rFonts w:hint="eastAsia" w:ascii="宋体" w:hAnsi="宋体" w:eastAsia="宋体" w:cs="宋体"/>
          <w:color w:val="000000"/>
          <w:sz w:val="24"/>
          <w:szCs w:val="24"/>
        </w:rPr>
        <w:t>其他</w:t>
      </w:r>
      <w:bookmarkEnd w:id="56"/>
      <w:bookmarkEnd w:id="57"/>
      <w:bookmarkEnd w:id="58"/>
    </w:p>
    <w:p w14:paraId="115F6900">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lang w:eastAsia="zh-CN"/>
        </w:rPr>
        <w:t>☑</w:t>
      </w:r>
      <w:r>
        <w:rPr>
          <w:rFonts w:hint="eastAsia" w:ascii="宋体" w:hAnsi="宋体" w:eastAsia="宋体" w:cs="宋体"/>
          <w:bCs/>
          <w:snapToGrid w:val="0"/>
          <w:color w:val="000000"/>
          <w:sz w:val="24"/>
          <w:szCs w:val="24"/>
          <w:highlight w:val="none"/>
        </w:rPr>
        <w:t>本工程采用商品砼。</w:t>
      </w:r>
    </w:p>
    <w:p w14:paraId="1353D1CE">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lang w:eastAsia="zh-CN"/>
        </w:rPr>
        <w:t>☑</w:t>
      </w:r>
      <w:r>
        <w:rPr>
          <w:rFonts w:hint="eastAsia" w:ascii="宋体" w:hAnsi="宋体" w:eastAsia="宋体" w:cs="宋体"/>
          <w:bCs/>
          <w:snapToGrid w:val="0"/>
          <w:color w:val="000000"/>
          <w:sz w:val="24"/>
          <w:szCs w:val="24"/>
          <w:highlight w:val="none"/>
        </w:rPr>
        <w:t>本项目采用预拌砂浆。</w:t>
      </w:r>
    </w:p>
    <w:p w14:paraId="2A41BAA7">
      <w:pPr>
        <w:pStyle w:val="8"/>
        <w:jc w:val="center"/>
        <w:rPr>
          <w:rFonts w:hint="eastAsia" w:ascii="宋体" w:hAnsi="宋体" w:eastAsia="宋体" w:cs="宋体"/>
          <w:b/>
          <w:bCs/>
        </w:rPr>
      </w:pPr>
      <w:bookmarkStart w:id="59" w:name="_Toc130919138"/>
      <w:r>
        <w:rPr>
          <w:rFonts w:hint="eastAsia" w:ascii="宋体" w:hAnsi="宋体" w:eastAsia="宋体" w:cs="宋体"/>
          <w:b/>
          <w:bCs/>
          <w:color w:val="000000"/>
        </w:rPr>
        <w:t>第八章  投标文件格式</w:t>
      </w:r>
      <w:bookmarkEnd w:id="59"/>
    </w:p>
    <w:p w14:paraId="7A6D26CB">
      <w:pPr>
        <w:spacing w:line="500" w:lineRule="exact"/>
        <w:jc w:val="right"/>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【正/副本】</w:t>
      </w:r>
    </w:p>
    <w:p w14:paraId="32C020C8">
      <w:pPr>
        <w:spacing w:line="500" w:lineRule="exact"/>
        <w:jc w:val="center"/>
        <w:rPr>
          <w:rFonts w:hint="default" w:ascii="Times New Roman" w:hAnsi="Times New Roman" w:eastAsia="宋体" w:cs="Times New Roman"/>
          <w:b/>
          <w:color w:val="auto"/>
          <w:sz w:val="32"/>
          <w:highlight w:val="none"/>
        </w:rPr>
      </w:pPr>
    </w:p>
    <w:p w14:paraId="7DA396B8">
      <w:pPr>
        <w:spacing w:line="900" w:lineRule="exact"/>
        <w:jc w:val="center"/>
        <w:rPr>
          <w:rFonts w:hint="default" w:ascii="Times New Roman" w:hAnsi="Times New Roman" w:eastAsia="宋体" w:cs="Times New Roman"/>
          <w:b/>
          <w:color w:val="auto"/>
          <w:sz w:val="72"/>
          <w:highlight w:val="none"/>
        </w:rPr>
      </w:pPr>
      <w:r>
        <w:rPr>
          <w:rFonts w:hint="eastAsia" w:ascii="Times New Roman" w:hAnsi="Times New Roman" w:eastAsia="宋体" w:cs="Times New Roman"/>
          <w:b/>
          <w:color w:val="auto"/>
          <w:sz w:val="36"/>
          <w:szCs w:val="21"/>
          <w:highlight w:val="none"/>
          <w:lang w:val="en-US" w:eastAsia="zh-CN"/>
        </w:rPr>
        <w:t xml:space="preserve">滨湖卓越城文华园一期8#楼4层装修改造 </w:t>
      </w:r>
    </w:p>
    <w:p w14:paraId="3647C138">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投</w:t>
      </w:r>
    </w:p>
    <w:p w14:paraId="505D9F55">
      <w:pPr>
        <w:spacing w:line="900" w:lineRule="exact"/>
        <w:jc w:val="center"/>
        <w:rPr>
          <w:rFonts w:hint="default" w:ascii="Times New Roman" w:hAnsi="Times New Roman" w:eastAsia="宋体" w:cs="Times New Roman"/>
          <w:b/>
          <w:color w:val="auto"/>
          <w:sz w:val="72"/>
          <w:highlight w:val="none"/>
        </w:rPr>
      </w:pPr>
    </w:p>
    <w:p w14:paraId="1A20E001">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标</w:t>
      </w:r>
    </w:p>
    <w:p w14:paraId="3835994D">
      <w:pPr>
        <w:spacing w:line="900" w:lineRule="exact"/>
        <w:jc w:val="center"/>
        <w:rPr>
          <w:rFonts w:hint="default" w:ascii="Times New Roman" w:hAnsi="Times New Roman" w:eastAsia="宋体" w:cs="Times New Roman"/>
          <w:b/>
          <w:color w:val="auto"/>
          <w:sz w:val="72"/>
          <w:highlight w:val="none"/>
        </w:rPr>
      </w:pPr>
    </w:p>
    <w:p w14:paraId="04ABBF05">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文</w:t>
      </w:r>
    </w:p>
    <w:p w14:paraId="3F691325">
      <w:pPr>
        <w:spacing w:line="900" w:lineRule="exact"/>
        <w:jc w:val="center"/>
        <w:rPr>
          <w:rFonts w:hint="default" w:ascii="Times New Roman" w:hAnsi="Times New Roman" w:eastAsia="宋体" w:cs="Times New Roman"/>
          <w:b/>
          <w:color w:val="auto"/>
          <w:sz w:val="72"/>
          <w:highlight w:val="none"/>
        </w:rPr>
      </w:pPr>
    </w:p>
    <w:p w14:paraId="250ACA99">
      <w:pPr>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件</w:t>
      </w:r>
    </w:p>
    <w:p w14:paraId="2465FAEF">
      <w:pPr>
        <w:spacing w:after="156" w:afterLines="50" w:line="500" w:lineRule="exact"/>
        <w:jc w:val="both"/>
        <w:rPr>
          <w:rFonts w:hint="default" w:ascii="Times New Roman" w:hAnsi="Times New Roman" w:eastAsia="宋体" w:cs="Times New Roman"/>
          <w:b/>
          <w:color w:val="auto"/>
          <w:sz w:val="72"/>
          <w:highlight w:val="none"/>
        </w:rPr>
      </w:pPr>
    </w:p>
    <w:p w14:paraId="7A2FEF77">
      <w:pPr>
        <w:spacing w:after="156" w:afterLines="50" w:line="500" w:lineRule="exact"/>
        <w:jc w:val="center"/>
        <w:rPr>
          <w:rFonts w:hint="default" w:ascii="Times New Roman" w:hAnsi="Times New Roman" w:eastAsia="宋体" w:cs="Times New Roman"/>
          <w:b/>
          <w:color w:val="auto"/>
          <w:sz w:val="32"/>
          <w:highlight w:val="none"/>
          <w:u w:val="single"/>
        </w:rPr>
      </w:pPr>
      <w:r>
        <w:rPr>
          <w:rFonts w:hint="default" w:ascii="Times New Roman" w:hAnsi="Times New Roman" w:eastAsia="宋体" w:cs="Times New Roman"/>
          <w:b/>
          <w:color w:val="auto"/>
          <w:sz w:val="32"/>
          <w:highlight w:val="none"/>
        </w:rPr>
        <w:t>投标人：</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（加盖投标人公章）</w:t>
      </w:r>
    </w:p>
    <w:p w14:paraId="74EDF669">
      <w:pPr>
        <w:spacing w:after="156" w:afterLines="50" w:line="500" w:lineRule="exact"/>
        <w:ind w:firstLine="660"/>
        <w:jc w:val="center"/>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年</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月</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日</w:t>
      </w:r>
    </w:p>
    <w:p w14:paraId="1E961E52">
      <w:pPr>
        <w:widowControl/>
        <w:jc w:val="left"/>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br w:type="page"/>
      </w:r>
    </w:p>
    <w:p w14:paraId="4F7E3161">
      <w:pPr>
        <w:pStyle w:val="15"/>
        <w:spacing w:line="0" w:lineRule="atLeas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8"/>
          <w:highlight w:val="none"/>
        </w:rPr>
        <w:t>投标文件资料清单</w:t>
      </w:r>
    </w:p>
    <w:p w14:paraId="523158AF">
      <w:pPr>
        <w:spacing w:line="360" w:lineRule="auto"/>
        <w:ind w:firstLine="3614" w:firstLineChars="1500"/>
        <w:jc w:val="both"/>
        <w:outlineLvl w:val="2"/>
        <w:rPr>
          <w:rFonts w:hint="default" w:ascii="Times New Roman" w:hAnsi="Times New Roman" w:eastAsia="宋体" w:cs="Times New Roman"/>
          <w:b/>
          <w:color w:val="auto"/>
          <w:sz w:val="24"/>
          <w:highlight w:val="none"/>
        </w:rPr>
      </w:pPr>
      <w:bookmarkStart w:id="60" w:name="_Toc507694547"/>
      <w:bookmarkStart w:id="61" w:name="_Toc477794142"/>
      <w:r>
        <w:rPr>
          <w:rFonts w:hint="default" w:ascii="Times New Roman" w:hAnsi="Times New Roman" w:eastAsia="宋体" w:cs="Times New Roman"/>
          <w:b/>
          <w:color w:val="auto"/>
          <w:sz w:val="24"/>
          <w:highlight w:val="none"/>
        </w:rPr>
        <w:t xml:space="preserve"> 投标文件格式</w:t>
      </w:r>
      <w:bookmarkEnd w:id="60"/>
      <w:bookmarkEnd w:id="61"/>
    </w:p>
    <w:tbl>
      <w:tblPr>
        <w:tblStyle w:val="17"/>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5115"/>
        <w:gridCol w:w="2459"/>
      </w:tblGrid>
      <w:tr w14:paraId="196E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084" w:type="dxa"/>
            <w:noWrap w:val="0"/>
            <w:vAlign w:val="center"/>
          </w:tcPr>
          <w:p w14:paraId="6460A11A">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5115" w:type="dxa"/>
            <w:noWrap w:val="0"/>
            <w:vAlign w:val="center"/>
          </w:tcPr>
          <w:p w14:paraId="005FB70C">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资料名称</w:t>
            </w:r>
          </w:p>
        </w:tc>
        <w:tc>
          <w:tcPr>
            <w:tcW w:w="2459" w:type="dxa"/>
            <w:noWrap w:val="0"/>
            <w:vAlign w:val="center"/>
          </w:tcPr>
          <w:p w14:paraId="23058F62">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备注</w:t>
            </w:r>
          </w:p>
        </w:tc>
      </w:tr>
      <w:tr w14:paraId="48E0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084" w:type="dxa"/>
            <w:noWrap w:val="0"/>
            <w:vAlign w:val="center"/>
          </w:tcPr>
          <w:p w14:paraId="1C49991A">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一</w:t>
            </w:r>
          </w:p>
        </w:tc>
        <w:tc>
          <w:tcPr>
            <w:tcW w:w="5115" w:type="dxa"/>
            <w:noWrap w:val="0"/>
            <w:vAlign w:val="center"/>
          </w:tcPr>
          <w:p w14:paraId="73A1389C">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开标一览</w:t>
            </w:r>
            <w:r>
              <w:rPr>
                <w:rFonts w:hint="default" w:ascii="Times New Roman" w:hAnsi="Times New Roman" w:eastAsia="宋体" w:cs="Times New Roman"/>
                <w:b/>
                <w:color w:val="auto"/>
                <w:sz w:val="24"/>
                <w:highlight w:val="none"/>
              </w:rPr>
              <w:t>表</w:t>
            </w:r>
          </w:p>
        </w:tc>
        <w:tc>
          <w:tcPr>
            <w:tcW w:w="2459" w:type="dxa"/>
            <w:noWrap w:val="0"/>
            <w:vAlign w:val="center"/>
          </w:tcPr>
          <w:p w14:paraId="2C6813AC">
            <w:pPr>
              <w:spacing w:line="360" w:lineRule="auto"/>
              <w:jc w:val="center"/>
              <w:outlineLvl w:val="2"/>
              <w:rPr>
                <w:rFonts w:hint="default" w:ascii="Times New Roman" w:hAnsi="Times New Roman" w:eastAsia="宋体" w:cs="Times New Roman"/>
                <w:b/>
                <w:color w:val="auto"/>
                <w:sz w:val="24"/>
                <w:highlight w:val="none"/>
              </w:rPr>
            </w:pPr>
          </w:p>
        </w:tc>
      </w:tr>
      <w:tr w14:paraId="3427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084" w:type="dxa"/>
            <w:noWrap w:val="0"/>
            <w:vAlign w:val="center"/>
          </w:tcPr>
          <w:p w14:paraId="4E869EFB">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二</w:t>
            </w:r>
          </w:p>
        </w:tc>
        <w:tc>
          <w:tcPr>
            <w:tcW w:w="5115" w:type="dxa"/>
            <w:noWrap w:val="0"/>
            <w:vAlign w:val="center"/>
          </w:tcPr>
          <w:p w14:paraId="7A18F115">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投标函</w:t>
            </w:r>
          </w:p>
        </w:tc>
        <w:tc>
          <w:tcPr>
            <w:tcW w:w="2459" w:type="dxa"/>
            <w:noWrap w:val="0"/>
            <w:vAlign w:val="center"/>
          </w:tcPr>
          <w:p w14:paraId="47A21E2D">
            <w:pPr>
              <w:spacing w:line="360" w:lineRule="auto"/>
              <w:jc w:val="center"/>
              <w:outlineLvl w:val="2"/>
              <w:rPr>
                <w:rFonts w:hint="default" w:ascii="Times New Roman" w:hAnsi="Times New Roman" w:eastAsia="宋体" w:cs="Times New Roman"/>
                <w:b/>
                <w:color w:val="auto"/>
                <w:sz w:val="24"/>
                <w:highlight w:val="none"/>
              </w:rPr>
            </w:pPr>
          </w:p>
        </w:tc>
      </w:tr>
      <w:tr w14:paraId="5F26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084" w:type="dxa"/>
            <w:noWrap w:val="0"/>
            <w:vAlign w:val="center"/>
          </w:tcPr>
          <w:p w14:paraId="302D28DE">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三</w:t>
            </w:r>
          </w:p>
        </w:tc>
        <w:tc>
          <w:tcPr>
            <w:tcW w:w="5115" w:type="dxa"/>
            <w:noWrap w:val="0"/>
            <w:vAlign w:val="center"/>
          </w:tcPr>
          <w:p w14:paraId="101BC487">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投标人信用承诺</w:t>
            </w:r>
          </w:p>
        </w:tc>
        <w:tc>
          <w:tcPr>
            <w:tcW w:w="2459" w:type="dxa"/>
            <w:noWrap w:val="0"/>
            <w:vAlign w:val="center"/>
          </w:tcPr>
          <w:p w14:paraId="24CD7791">
            <w:pPr>
              <w:spacing w:line="360" w:lineRule="auto"/>
              <w:jc w:val="center"/>
              <w:outlineLvl w:val="2"/>
              <w:rPr>
                <w:rFonts w:hint="default" w:ascii="Times New Roman" w:hAnsi="Times New Roman" w:eastAsia="宋体" w:cs="Times New Roman"/>
                <w:b/>
                <w:color w:val="auto"/>
                <w:sz w:val="24"/>
                <w:highlight w:val="none"/>
              </w:rPr>
            </w:pPr>
          </w:p>
        </w:tc>
      </w:tr>
      <w:tr w14:paraId="6125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084" w:type="dxa"/>
            <w:noWrap w:val="0"/>
            <w:vAlign w:val="center"/>
          </w:tcPr>
          <w:p w14:paraId="1BD45268">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四</w:t>
            </w:r>
          </w:p>
        </w:tc>
        <w:tc>
          <w:tcPr>
            <w:tcW w:w="5115" w:type="dxa"/>
            <w:noWrap w:val="0"/>
            <w:vAlign w:val="center"/>
          </w:tcPr>
          <w:p w14:paraId="30C86222">
            <w:pPr>
              <w:spacing w:line="360" w:lineRule="auto"/>
              <w:jc w:val="center"/>
              <w:outlineLvl w:val="2"/>
              <w:rPr>
                <w:rFonts w:hint="eastAsia" w:ascii="Times New Roman" w:hAnsi="Times New Roman" w:eastAsia="宋体" w:cs="Times New Roman"/>
                <w:b/>
                <w:color w:val="auto"/>
                <w:sz w:val="24"/>
                <w:highlight w:val="none"/>
                <w:lang w:eastAsia="zh-CN"/>
              </w:rPr>
            </w:pPr>
            <w:r>
              <w:rPr>
                <w:rFonts w:hint="eastAsia" w:ascii="Times New Roman" w:hAnsi="Times New Roman" w:eastAsia="宋体" w:cs="Times New Roman"/>
                <w:b/>
                <w:color w:val="auto"/>
                <w:sz w:val="24"/>
                <w:highlight w:val="none"/>
                <w:lang w:eastAsia="zh-CN"/>
              </w:rPr>
              <w:t>授权书</w:t>
            </w:r>
          </w:p>
        </w:tc>
        <w:tc>
          <w:tcPr>
            <w:tcW w:w="2459" w:type="dxa"/>
            <w:noWrap w:val="0"/>
            <w:vAlign w:val="center"/>
          </w:tcPr>
          <w:p w14:paraId="382488B1">
            <w:pPr>
              <w:spacing w:line="360" w:lineRule="auto"/>
              <w:jc w:val="center"/>
              <w:outlineLvl w:val="2"/>
              <w:rPr>
                <w:rFonts w:hint="default" w:ascii="Times New Roman" w:hAnsi="Times New Roman" w:eastAsia="宋体" w:cs="Times New Roman"/>
                <w:b/>
                <w:color w:val="auto"/>
                <w:sz w:val="24"/>
                <w:highlight w:val="none"/>
              </w:rPr>
            </w:pPr>
          </w:p>
        </w:tc>
      </w:tr>
      <w:tr w14:paraId="3276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84" w:type="dxa"/>
            <w:noWrap w:val="0"/>
            <w:vAlign w:val="center"/>
          </w:tcPr>
          <w:p w14:paraId="6D303784">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五</w:t>
            </w:r>
          </w:p>
        </w:tc>
        <w:tc>
          <w:tcPr>
            <w:tcW w:w="5115" w:type="dxa"/>
            <w:noWrap w:val="0"/>
            <w:vAlign w:val="center"/>
          </w:tcPr>
          <w:p w14:paraId="2E84D2E2">
            <w:pPr>
              <w:spacing w:line="360" w:lineRule="auto"/>
              <w:jc w:val="center"/>
              <w:outlineLvl w:val="2"/>
              <w:rPr>
                <w:rFonts w:hint="eastAsia" w:ascii="Times New Roman" w:hAnsi="Times New Roman" w:eastAsia="宋体" w:cs="Times New Roman"/>
                <w:b/>
                <w:color w:val="auto"/>
                <w:sz w:val="24"/>
                <w:highlight w:val="none"/>
                <w:lang w:eastAsia="zh-CN"/>
              </w:rPr>
            </w:pPr>
            <w:r>
              <w:rPr>
                <w:rFonts w:hint="eastAsia" w:ascii="Times New Roman" w:hAnsi="Times New Roman" w:eastAsia="宋体" w:cs="Times New Roman"/>
                <w:b/>
                <w:color w:val="auto"/>
                <w:sz w:val="24"/>
                <w:highlight w:val="none"/>
                <w:lang w:eastAsia="zh-CN"/>
              </w:rPr>
              <w:t>投标业绩承诺函</w:t>
            </w:r>
          </w:p>
        </w:tc>
        <w:tc>
          <w:tcPr>
            <w:tcW w:w="2459" w:type="dxa"/>
            <w:noWrap w:val="0"/>
            <w:vAlign w:val="center"/>
          </w:tcPr>
          <w:p w14:paraId="33DCF4D0">
            <w:pPr>
              <w:spacing w:line="360" w:lineRule="auto"/>
              <w:jc w:val="center"/>
              <w:outlineLvl w:val="2"/>
              <w:rPr>
                <w:rFonts w:hint="default" w:ascii="Times New Roman" w:hAnsi="Times New Roman" w:eastAsia="宋体" w:cs="Times New Roman"/>
                <w:b/>
                <w:color w:val="auto"/>
                <w:sz w:val="24"/>
                <w:highlight w:val="none"/>
              </w:rPr>
            </w:pPr>
          </w:p>
        </w:tc>
      </w:tr>
      <w:tr w14:paraId="3D33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084" w:type="dxa"/>
            <w:noWrap w:val="0"/>
            <w:vAlign w:val="center"/>
          </w:tcPr>
          <w:p w14:paraId="3A06A9A8">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六</w:t>
            </w:r>
          </w:p>
        </w:tc>
        <w:tc>
          <w:tcPr>
            <w:tcW w:w="5115" w:type="dxa"/>
            <w:shd w:val="clear" w:color="auto" w:fill="auto"/>
            <w:noWrap w:val="0"/>
            <w:vAlign w:val="center"/>
          </w:tcPr>
          <w:p w14:paraId="10DFD3AD">
            <w:pPr>
              <w:spacing w:line="360" w:lineRule="auto"/>
              <w:jc w:val="center"/>
              <w:outlineLvl w:val="2"/>
              <w:rPr>
                <w:rFonts w:hint="default" w:ascii="Times New Roman" w:hAnsi="Times New Roman" w:eastAsia="宋体" w:cs="Times New Roman"/>
                <w:b/>
                <w:color w:val="auto"/>
                <w:kern w:val="20"/>
                <w:sz w:val="24"/>
                <w:szCs w:val="44"/>
                <w:highlight w:val="none"/>
                <w:lang w:val="en-US" w:eastAsia="zh-CN" w:bidi="ar-SA"/>
              </w:rPr>
            </w:pPr>
            <w:r>
              <w:rPr>
                <w:rFonts w:hint="default" w:ascii="Times New Roman" w:hAnsi="Times New Roman" w:eastAsia="宋体" w:cs="Times New Roman"/>
                <w:b/>
                <w:color w:val="auto"/>
                <w:sz w:val="24"/>
                <w:highlight w:val="none"/>
                <w:lang w:val="en-US" w:eastAsia="zh-CN"/>
              </w:rPr>
              <w:t>拟投入本项目的人员情况</w:t>
            </w:r>
          </w:p>
        </w:tc>
        <w:tc>
          <w:tcPr>
            <w:tcW w:w="2459" w:type="dxa"/>
            <w:noWrap w:val="0"/>
            <w:vAlign w:val="center"/>
          </w:tcPr>
          <w:p w14:paraId="66858CA9">
            <w:pPr>
              <w:spacing w:line="360" w:lineRule="auto"/>
              <w:jc w:val="center"/>
              <w:outlineLvl w:val="2"/>
              <w:rPr>
                <w:rFonts w:hint="default" w:ascii="Times New Roman" w:hAnsi="Times New Roman" w:eastAsia="宋体" w:cs="Times New Roman"/>
                <w:b/>
                <w:color w:val="auto"/>
                <w:sz w:val="24"/>
                <w:highlight w:val="none"/>
              </w:rPr>
            </w:pPr>
          </w:p>
        </w:tc>
      </w:tr>
      <w:tr w14:paraId="529C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084" w:type="dxa"/>
            <w:noWrap w:val="0"/>
            <w:vAlign w:val="center"/>
          </w:tcPr>
          <w:p w14:paraId="5B9DF943">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七</w:t>
            </w:r>
          </w:p>
        </w:tc>
        <w:tc>
          <w:tcPr>
            <w:tcW w:w="5115" w:type="dxa"/>
            <w:shd w:val="clear" w:color="auto" w:fill="auto"/>
            <w:noWrap w:val="0"/>
            <w:vAlign w:val="center"/>
          </w:tcPr>
          <w:p w14:paraId="52ED54DB">
            <w:pPr>
              <w:spacing w:line="360" w:lineRule="auto"/>
              <w:jc w:val="center"/>
              <w:outlineLvl w:val="2"/>
              <w:rPr>
                <w:rFonts w:hint="default" w:ascii="Times New Roman" w:hAnsi="Times New Roman" w:eastAsia="宋体" w:cs="Times New Roman"/>
                <w:b/>
                <w:color w:val="auto"/>
                <w:kern w:val="20"/>
                <w:sz w:val="24"/>
                <w:szCs w:val="44"/>
                <w:highlight w:val="none"/>
                <w:lang w:val="en-US" w:eastAsia="zh-CN" w:bidi="ar-SA"/>
              </w:rPr>
            </w:pPr>
            <w:r>
              <w:rPr>
                <w:rFonts w:hint="default" w:ascii="Times New Roman" w:hAnsi="Times New Roman" w:eastAsia="宋体" w:cs="Times New Roman"/>
                <w:b/>
                <w:color w:val="auto"/>
                <w:sz w:val="24"/>
                <w:highlight w:val="none"/>
                <w:lang w:val="en-US" w:eastAsia="zh-CN"/>
              </w:rPr>
              <w:t>服务承诺</w:t>
            </w:r>
          </w:p>
        </w:tc>
        <w:tc>
          <w:tcPr>
            <w:tcW w:w="2459" w:type="dxa"/>
            <w:noWrap w:val="0"/>
            <w:vAlign w:val="center"/>
          </w:tcPr>
          <w:p w14:paraId="61AC31CE">
            <w:pPr>
              <w:spacing w:line="360" w:lineRule="auto"/>
              <w:jc w:val="center"/>
              <w:outlineLvl w:val="2"/>
              <w:rPr>
                <w:rFonts w:hint="default" w:ascii="Times New Roman" w:hAnsi="Times New Roman" w:eastAsia="宋体" w:cs="Times New Roman"/>
                <w:b/>
                <w:color w:val="auto"/>
                <w:sz w:val="24"/>
                <w:highlight w:val="none"/>
              </w:rPr>
            </w:pPr>
          </w:p>
        </w:tc>
      </w:tr>
      <w:tr w14:paraId="6267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084" w:type="dxa"/>
            <w:noWrap w:val="0"/>
            <w:vAlign w:val="center"/>
          </w:tcPr>
          <w:p w14:paraId="7121CD39">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八</w:t>
            </w:r>
          </w:p>
        </w:tc>
        <w:tc>
          <w:tcPr>
            <w:tcW w:w="5115" w:type="dxa"/>
            <w:shd w:val="clear" w:color="auto" w:fill="auto"/>
            <w:noWrap w:val="0"/>
            <w:vAlign w:val="center"/>
          </w:tcPr>
          <w:p w14:paraId="079BC282">
            <w:pPr>
              <w:spacing w:line="360" w:lineRule="auto"/>
              <w:jc w:val="center"/>
              <w:outlineLvl w:val="2"/>
              <w:rPr>
                <w:rFonts w:hint="default" w:ascii="Times New Roman" w:hAnsi="Times New Roman" w:eastAsia="宋体" w:cs="Times New Roman"/>
                <w:b/>
                <w:color w:val="auto"/>
                <w:kern w:val="20"/>
                <w:sz w:val="24"/>
                <w:szCs w:val="44"/>
                <w:highlight w:val="none"/>
                <w:lang w:val="en-US" w:eastAsia="zh-CN" w:bidi="ar-SA"/>
              </w:rPr>
            </w:pPr>
            <w:r>
              <w:rPr>
                <w:rFonts w:hint="default" w:ascii="Times New Roman" w:hAnsi="Times New Roman" w:eastAsia="宋体" w:cs="Times New Roman"/>
                <w:b/>
                <w:color w:val="auto"/>
                <w:sz w:val="24"/>
                <w:highlight w:val="none"/>
                <w:lang w:val="en-US" w:eastAsia="zh-CN"/>
              </w:rPr>
              <w:t>有关证明文件</w:t>
            </w:r>
          </w:p>
        </w:tc>
        <w:tc>
          <w:tcPr>
            <w:tcW w:w="2459" w:type="dxa"/>
            <w:noWrap w:val="0"/>
            <w:vAlign w:val="center"/>
          </w:tcPr>
          <w:p w14:paraId="49B764C1">
            <w:pPr>
              <w:spacing w:line="360" w:lineRule="auto"/>
              <w:jc w:val="center"/>
              <w:outlineLvl w:val="2"/>
              <w:rPr>
                <w:rFonts w:hint="default" w:ascii="Times New Roman" w:hAnsi="Times New Roman" w:eastAsia="宋体" w:cs="Times New Roman"/>
                <w:b/>
                <w:color w:val="auto"/>
                <w:sz w:val="24"/>
                <w:highlight w:val="none"/>
              </w:rPr>
            </w:pPr>
          </w:p>
        </w:tc>
      </w:tr>
    </w:tbl>
    <w:p w14:paraId="1C97FC90">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br w:type="page"/>
      </w:r>
    </w:p>
    <w:p w14:paraId="3FE57124">
      <w:pPr>
        <w:pStyle w:val="24"/>
        <w:numPr>
          <w:ilvl w:val="0"/>
          <w:numId w:val="4"/>
        </w:numPr>
        <w:spacing w:line="360" w:lineRule="auto"/>
        <w:ind w:firstLineChars="0"/>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lang w:val="en-US" w:eastAsia="zh-CN"/>
        </w:rPr>
        <w:t>开标一览表</w:t>
      </w:r>
    </w:p>
    <w:p w14:paraId="714D1D63">
      <w:pPr>
        <w:pStyle w:val="24"/>
        <w:numPr>
          <w:ilvl w:val="0"/>
          <w:numId w:val="0"/>
        </w:numPr>
        <w:spacing w:line="360" w:lineRule="auto"/>
        <w:ind w:left="720" w:leftChars="0"/>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lang w:val="en-US" w:eastAsia="zh-CN"/>
        </w:rPr>
        <w:t>1-1</w:t>
      </w:r>
      <w:r>
        <w:rPr>
          <w:rFonts w:hint="default" w:ascii="Times New Roman" w:hAnsi="Times New Roman" w:eastAsia="宋体" w:cs="Times New Roman"/>
          <w:b/>
          <w:color w:val="auto"/>
          <w:sz w:val="28"/>
          <w:szCs w:val="28"/>
          <w:highlight w:val="none"/>
        </w:rPr>
        <w:t>开标一览表</w:t>
      </w:r>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7FD0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14:paraId="2C724757">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项目名称</w:t>
            </w:r>
          </w:p>
        </w:tc>
        <w:tc>
          <w:tcPr>
            <w:tcW w:w="6667" w:type="dxa"/>
            <w:tcBorders>
              <w:top w:val="single" w:color="auto" w:sz="4" w:space="0"/>
              <w:bottom w:val="single" w:color="auto" w:sz="4" w:space="0"/>
              <w:right w:val="single" w:color="auto" w:sz="4" w:space="0"/>
            </w:tcBorders>
            <w:noWrap w:val="0"/>
            <w:vAlign w:val="center"/>
          </w:tcPr>
          <w:p w14:paraId="17B2A18D">
            <w:pPr>
              <w:spacing w:line="360" w:lineRule="auto"/>
              <w:rPr>
                <w:rFonts w:hint="default" w:ascii="Times New Roman" w:hAnsi="Times New Roman" w:eastAsia="宋体" w:cs="Times New Roman"/>
                <w:color w:val="auto"/>
                <w:sz w:val="24"/>
                <w:highlight w:val="none"/>
                <w:lang w:val="en-US"/>
              </w:rPr>
            </w:pPr>
          </w:p>
        </w:tc>
      </w:tr>
      <w:tr w14:paraId="066C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71" w:type="dxa"/>
            <w:tcBorders>
              <w:top w:val="nil"/>
            </w:tcBorders>
            <w:noWrap w:val="0"/>
            <w:vAlign w:val="center"/>
          </w:tcPr>
          <w:p w14:paraId="5DE79FB3">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投标人全称</w:t>
            </w:r>
          </w:p>
        </w:tc>
        <w:tc>
          <w:tcPr>
            <w:tcW w:w="6667" w:type="dxa"/>
            <w:tcBorders>
              <w:top w:val="nil"/>
            </w:tcBorders>
            <w:noWrap w:val="0"/>
            <w:vAlign w:val="center"/>
          </w:tcPr>
          <w:p w14:paraId="761A38E2">
            <w:pPr>
              <w:spacing w:line="360" w:lineRule="auto"/>
              <w:rPr>
                <w:rFonts w:hint="default" w:ascii="Times New Roman" w:hAnsi="Times New Roman" w:eastAsia="宋体" w:cs="Times New Roman"/>
                <w:color w:val="auto"/>
                <w:sz w:val="24"/>
                <w:highlight w:val="none"/>
              </w:rPr>
            </w:pPr>
          </w:p>
        </w:tc>
      </w:tr>
      <w:tr w14:paraId="6A6A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14:paraId="6F3A8103">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投标范围</w:t>
            </w:r>
          </w:p>
        </w:tc>
        <w:tc>
          <w:tcPr>
            <w:tcW w:w="6667" w:type="dxa"/>
            <w:tcBorders>
              <w:top w:val="nil"/>
            </w:tcBorders>
            <w:noWrap w:val="0"/>
            <w:vAlign w:val="center"/>
          </w:tcPr>
          <w:p w14:paraId="290D5850">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全部</w:t>
            </w:r>
          </w:p>
        </w:tc>
      </w:tr>
      <w:tr w14:paraId="763C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14:paraId="28770F72">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最终服务费投标报价</w:t>
            </w:r>
          </w:p>
          <w:p w14:paraId="714B1DED">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（人民币）</w:t>
            </w:r>
          </w:p>
        </w:tc>
        <w:tc>
          <w:tcPr>
            <w:tcW w:w="6667" w:type="dxa"/>
            <w:tcBorders>
              <w:top w:val="nil"/>
            </w:tcBorders>
            <w:noWrap w:val="0"/>
            <w:vAlign w:val="center"/>
          </w:tcPr>
          <w:p w14:paraId="0B9C79F2">
            <w:pPr>
              <w:spacing w:line="360" w:lineRule="auto"/>
              <w:rPr>
                <w:rFonts w:hint="default" w:ascii="Times New Roman" w:hAnsi="Times New Roman" w:eastAsia="宋体" w:cs="Times New Roman"/>
                <w:color w:val="auto"/>
                <w:sz w:val="24"/>
                <w:highlight w:val="none"/>
              </w:rPr>
            </w:pPr>
          </w:p>
          <w:p w14:paraId="783256AD">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14:paraId="73FD344E">
            <w:pPr>
              <w:spacing w:line="360" w:lineRule="auto"/>
              <w:rPr>
                <w:rFonts w:hint="default" w:ascii="Times New Roman" w:hAnsi="Times New Roman" w:eastAsia="宋体" w:cs="Times New Roman"/>
                <w:color w:val="auto"/>
                <w:sz w:val="24"/>
                <w:highlight w:val="none"/>
              </w:rPr>
            </w:pPr>
          </w:p>
        </w:tc>
      </w:tr>
      <w:tr w14:paraId="10F3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14:paraId="54DB7301">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是否响应招标文件物业部分定价标准</w:t>
            </w:r>
          </w:p>
        </w:tc>
        <w:tc>
          <w:tcPr>
            <w:tcW w:w="6667" w:type="dxa"/>
            <w:tcBorders>
              <w:top w:val="nil"/>
            </w:tcBorders>
            <w:noWrap w:val="0"/>
            <w:vAlign w:val="center"/>
          </w:tcPr>
          <w:p w14:paraId="67F2E4DF">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响应</w:t>
            </w:r>
          </w:p>
        </w:tc>
      </w:tr>
      <w:tr w14:paraId="0FB3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2" w:hRule="atLeast"/>
          <w:jc w:val="center"/>
        </w:trPr>
        <w:tc>
          <w:tcPr>
            <w:tcW w:w="2471" w:type="dxa"/>
            <w:tcBorders>
              <w:top w:val="nil"/>
            </w:tcBorders>
            <w:noWrap w:val="0"/>
            <w:vAlign w:val="center"/>
          </w:tcPr>
          <w:p w14:paraId="42CCD17E">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备注</w:t>
            </w:r>
          </w:p>
        </w:tc>
        <w:tc>
          <w:tcPr>
            <w:tcW w:w="6667" w:type="dxa"/>
            <w:tcBorders>
              <w:top w:val="nil"/>
            </w:tcBorders>
            <w:noWrap w:val="0"/>
            <w:vAlign w:val="center"/>
          </w:tcPr>
          <w:p w14:paraId="2FA0F9C3">
            <w:pPr>
              <w:spacing w:line="360" w:lineRule="auto"/>
              <w:rPr>
                <w:rFonts w:hint="default" w:ascii="Times New Roman" w:hAnsi="Times New Roman" w:eastAsia="宋体" w:cs="Times New Roman"/>
                <w:color w:val="auto"/>
                <w:sz w:val="24"/>
                <w:highlight w:val="none"/>
              </w:rPr>
            </w:pPr>
          </w:p>
        </w:tc>
      </w:tr>
    </w:tbl>
    <w:p w14:paraId="62FBA821">
      <w:pPr>
        <w:spacing w:line="360" w:lineRule="auto"/>
        <w:rPr>
          <w:rFonts w:hint="default" w:ascii="Times New Roman" w:hAnsi="Times New Roman" w:eastAsia="宋体" w:cs="Times New Roman"/>
          <w:color w:val="auto"/>
          <w:sz w:val="24"/>
          <w:highlight w:val="none"/>
        </w:rPr>
      </w:pPr>
    </w:p>
    <w:p w14:paraId="6044F3F4">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投标人公章：                                           </w:t>
      </w:r>
    </w:p>
    <w:p w14:paraId="07478D32">
      <w:pPr>
        <w:spacing w:line="360" w:lineRule="auto"/>
        <w:ind w:firstLine="360" w:firstLineChars="150"/>
        <w:rPr>
          <w:rFonts w:hint="default" w:ascii="Times New Roman" w:hAnsi="Times New Roman" w:eastAsia="宋体" w:cs="Times New Roman"/>
          <w:color w:val="auto"/>
          <w:sz w:val="24"/>
          <w:highlight w:val="none"/>
        </w:rPr>
      </w:pPr>
    </w:p>
    <w:p w14:paraId="4A0438F9">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备注：</w:t>
      </w:r>
    </w:p>
    <w:p w14:paraId="347CEB2E">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1.此表用于开标唱标之用。</w:t>
      </w:r>
    </w:p>
    <w:p w14:paraId="77F4E591">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2.表中投标报价即为优惠后报价，并作为评审及定标依据。任何有选择或有条件的投标报价，或者表中某一包别填写多个报价，均为无效报价。</w:t>
      </w:r>
    </w:p>
    <w:p w14:paraId="25B83C4B">
      <w:pPr>
        <w:widowControl/>
        <w:jc w:val="left"/>
        <w:rPr>
          <w:rFonts w:hint="default" w:ascii="Times New Roman" w:hAnsi="Times New Roman" w:eastAsia="宋体" w:cs="Times New Roman"/>
          <w:color w:val="auto"/>
          <w:sz w:val="24"/>
          <w:highlight w:val="none"/>
        </w:rPr>
      </w:pPr>
    </w:p>
    <w:p w14:paraId="1A3F98FD">
      <w:pPr>
        <w:widowControl/>
        <w:jc w:val="left"/>
        <w:rPr>
          <w:rFonts w:hint="default" w:ascii="Times New Roman" w:hAnsi="Times New Roman" w:eastAsia="宋体" w:cs="Times New Roman"/>
          <w:color w:val="auto"/>
          <w:sz w:val="24"/>
          <w:highlight w:val="none"/>
        </w:rPr>
      </w:pPr>
    </w:p>
    <w:p w14:paraId="0736E466">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二、投标函</w:t>
      </w:r>
    </w:p>
    <w:p w14:paraId="28DD4A87">
      <w:pPr>
        <w:pStyle w:val="12"/>
        <w:spacing w:line="360" w:lineRule="auto"/>
        <w:rPr>
          <w:rFonts w:hint="default" w:ascii="Times New Roman" w:hAnsi="Times New Roman" w:cs="Times New Roman"/>
          <w:color w:val="auto"/>
          <w:sz w:val="24"/>
          <w:highlight w:val="none"/>
        </w:rPr>
      </w:pPr>
    </w:p>
    <w:p w14:paraId="0F363715">
      <w:pPr>
        <w:pStyle w:val="12"/>
        <w:spacing w:line="360" w:lineRule="auto"/>
        <w:rPr>
          <w:rFonts w:hint="default" w:ascii="Times New Roman" w:hAnsi="Times New Roman" w:eastAsia="@仿宋_GB2312" w:cs="Times New Roman"/>
          <w:color w:val="auto"/>
          <w:highlight w:val="none"/>
          <w:u w:val="singl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合肥</w:t>
      </w:r>
      <w:r>
        <w:rPr>
          <w:rFonts w:hint="eastAsia" w:ascii="Times New Roman" w:hAnsi="Times New Roman" w:cs="Times New Roman"/>
          <w:color w:val="auto"/>
          <w:sz w:val="24"/>
          <w:highlight w:val="none"/>
          <w:u w:val="single"/>
          <w:lang w:val="en-US" w:eastAsia="zh-CN"/>
        </w:rPr>
        <w:t>包河文广产业投资</w:t>
      </w:r>
      <w:r>
        <w:rPr>
          <w:rFonts w:hint="default" w:ascii="Times New Roman" w:hAnsi="Times New Roman" w:cs="Times New Roman"/>
          <w:color w:val="auto"/>
          <w:sz w:val="24"/>
          <w:highlight w:val="none"/>
          <w:u w:val="single"/>
        </w:rPr>
        <w:t>有限公司</w:t>
      </w:r>
    </w:p>
    <w:p w14:paraId="765F00AC">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根据贵方的招标公告和投标邀请，我方兹宣布同意如下：</w:t>
      </w:r>
    </w:p>
    <w:p w14:paraId="2EAD4355">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1.按招标文件规定提供</w:t>
      </w:r>
      <w:r>
        <w:rPr>
          <w:rFonts w:hint="default" w:ascii="Times New Roman" w:hAnsi="Times New Roman" w:eastAsia="宋体" w:cs="Times New Roman"/>
          <w:color w:val="auto"/>
          <w:sz w:val="24"/>
          <w:highlight w:val="none"/>
          <w:lang w:val="en-US" w:eastAsia="zh-CN"/>
        </w:rPr>
        <w:t>相应服务</w:t>
      </w:r>
      <w:r>
        <w:rPr>
          <w:rFonts w:hint="default" w:ascii="Times New Roman" w:hAnsi="Times New Roman" w:eastAsia="宋体" w:cs="Times New Roman"/>
          <w:color w:val="auto"/>
          <w:sz w:val="24"/>
          <w:highlight w:val="none"/>
        </w:rPr>
        <w:t>，如我方中标，我方承诺愿意按招标文件规定缴纳履约保证金和中标服务费。</w:t>
      </w:r>
    </w:p>
    <w:p w14:paraId="2EE0F0C9">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2.我方根据招标文件的规定，严格履行合同的责任和义务。</w:t>
      </w:r>
    </w:p>
    <w:p w14:paraId="0EA42800">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3.我方承诺报价</w:t>
      </w:r>
      <w:r>
        <w:rPr>
          <w:rFonts w:hint="default" w:ascii="Times New Roman" w:hAnsi="Times New Roman" w:eastAsia="宋体" w:cs="Times New Roman"/>
          <w:color w:val="auto"/>
          <w:sz w:val="24"/>
          <w:highlight w:val="none"/>
          <w:lang w:val="en-US" w:eastAsia="zh-CN"/>
        </w:rPr>
        <w:t>按照招标文件要求</w:t>
      </w:r>
      <w:r>
        <w:rPr>
          <w:rFonts w:hint="default" w:ascii="Times New Roman" w:hAnsi="Times New Roman" w:eastAsia="宋体" w:cs="Times New Roman"/>
          <w:color w:val="auto"/>
          <w:sz w:val="24"/>
          <w:highlight w:val="none"/>
        </w:rPr>
        <w:t>。</w:t>
      </w:r>
    </w:p>
    <w:p w14:paraId="698FBBA7">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14:paraId="57DEEA65">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5.我方同意从招标文件规定的开标日期起遵循本招标文件，并在招标文件规定的投标有效期之前均具有约束力。</w:t>
      </w:r>
    </w:p>
    <w:p w14:paraId="59CAA683">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我方声明投标文件所提供的一切资料均真实无误、及时、有效，企业运营正常。由于我方提供资料不实而造成的责任和后果由我方承担。我方同意按照贵方提出的要求，提供与投标有关的任何证据、数据或资料。</w:t>
      </w:r>
    </w:p>
    <w:p w14:paraId="41E16EDB">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7.我方完全理解贵方不一定接受最低报价的投标。</w:t>
      </w:r>
    </w:p>
    <w:p w14:paraId="2233AC39">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8.我方对投标文件中所提供资料、文件、证书及证件的真实性和有效性负责。</w:t>
      </w:r>
    </w:p>
    <w:p w14:paraId="1247236D">
      <w:pPr>
        <w:spacing w:line="360" w:lineRule="auto"/>
        <w:ind w:firstLine="435"/>
        <w:rPr>
          <w:rFonts w:hint="default" w:ascii="Times New Roman" w:hAnsi="Times New Roman" w:eastAsia="宋体" w:cs="Times New Roman"/>
          <w:color w:val="auto"/>
          <w:sz w:val="24"/>
          <w:highlight w:val="none"/>
        </w:rPr>
      </w:pPr>
    </w:p>
    <w:p w14:paraId="43E2E6A5">
      <w:pPr>
        <w:spacing w:line="360" w:lineRule="auto"/>
        <w:ind w:firstLine="435"/>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投标人公章：</w:t>
      </w:r>
      <w:r>
        <w:rPr>
          <w:rFonts w:hint="default" w:ascii="Times New Roman" w:hAnsi="Times New Roman" w:eastAsia="宋体" w:cs="Times New Roman"/>
          <w:color w:val="auto"/>
          <w:sz w:val="24"/>
          <w:highlight w:val="none"/>
          <w:u w:val="single"/>
        </w:rPr>
        <w:t xml:space="preserve">                     </w:t>
      </w:r>
    </w:p>
    <w:p w14:paraId="0867A688">
      <w:pPr>
        <w:spacing w:line="360" w:lineRule="auto"/>
        <w:ind w:firstLine="435"/>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日      期：</w:t>
      </w:r>
      <w:r>
        <w:rPr>
          <w:rFonts w:hint="default" w:ascii="Times New Roman" w:hAnsi="Times New Roman" w:eastAsia="宋体" w:cs="Times New Roman"/>
          <w:color w:val="auto"/>
          <w:sz w:val="24"/>
          <w:highlight w:val="none"/>
          <w:u w:val="single"/>
        </w:rPr>
        <w:t xml:space="preserve">                     </w:t>
      </w:r>
    </w:p>
    <w:p w14:paraId="3A9DDF79">
      <w:pPr>
        <w:widowControl/>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br w:type="page"/>
      </w:r>
    </w:p>
    <w:p w14:paraId="67FF1B5A">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三、无重大违法记录声明函、无不良信用记录声明函</w:t>
      </w:r>
    </w:p>
    <w:p w14:paraId="65E0F033">
      <w:pPr>
        <w:spacing w:line="360" w:lineRule="auto"/>
        <w:jc w:val="center"/>
        <w:rPr>
          <w:rFonts w:hint="default" w:ascii="Times New Roman" w:hAnsi="Times New Roman" w:eastAsia="宋体" w:cs="Times New Roman"/>
          <w:i/>
          <w:color w:val="auto"/>
          <w:sz w:val="24"/>
          <w:highlight w:val="none"/>
        </w:rPr>
      </w:pPr>
      <w:r>
        <w:rPr>
          <w:rFonts w:hint="default" w:ascii="Times New Roman" w:hAnsi="Times New Roman" w:eastAsia="宋体" w:cs="Times New Roman"/>
          <w:i/>
          <w:color w:val="auto"/>
          <w:sz w:val="24"/>
          <w:highlight w:val="none"/>
          <w:lang w:eastAsia="zh-CN"/>
        </w:rPr>
        <w:t>（</w:t>
      </w:r>
      <w:r>
        <w:rPr>
          <w:rFonts w:hint="default" w:ascii="Times New Roman" w:hAnsi="Times New Roman" w:eastAsia="宋体" w:cs="Times New Roman"/>
          <w:i/>
          <w:color w:val="auto"/>
          <w:sz w:val="24"/>
          <w:highlight w:val="none"/>
        </w:rPr>
        <w:t>联合体参加投标的，联合体各方均须提供</w:t>
      </w:r>
      <w:r>
        <w:rPr>
          <w:rFonts w:hint="default" w:ascii="Times New Roman" w:hAnsi="Times New Roman" w:eastAsia="宋体" w:cs="Times New Roman"/>
          <w:i/>
          <w:color w:val="auto"/>
          <w:sz w:val="24"/>
          <w:highlight w:val="none"/>
          <w:lang w:eastAsia="zh-CN"/>
        </w:rPr>
        <w:t>）</w:t>
      </w:r>
    </w:p>
    <w:p w14:paraId="3179C834">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14:paraId="2AA999F7">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2.本单位郑重声明，我单位无以下不良信用记录情形：</w:t>
      </w:r>
    </w:p>
    <w:p w14:paraId="69ED95C8">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（1）被人民法院列入失信被执行人；</w:t>
      </w:r>
    </w:p>
    <w:p w14:paraId="3F0AB0C0">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（2）被税务部门列入重大税收违法案件当事人名单。</w:t>
      </w:r>
    </w:p>
    <w:p w14:paraId="7B50D7F2">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p>
    <w:p w14:paraId="2E3960EC">
      <w:pPr>
        <w:spacing w:line="360" w:lineRule="auto"/>
        <w:ind w:firstLine="435"/>
        <w:rPr>
          <w:rFonts w:hint="default" w:ascii="Times New Roman" w:hAnsi="Times New Roman" w:eastAsia="宋体" w:cs="Times New Roman"/>
          <w:color w:val="auto"/>
          <w:sz w:val="24"/>
          <w:highlight w:val="none"/>
        </w:rPr>
      </w:pPr>
    </w:p>
    <w:p w14:paraId="45DB16E0">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本单位对上述声明的真实性负责。如有虚假，将依法承担相应责任。</w:t>
      </w:r>
    </w:p>
    <w:p w14:paraId="39678B4E">
      <w:pPr>
        <w:spacing w:line="360" w:lineRule="auto"/>
        <w:ind w:firstLine="4800" w:firstLineChars="20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投标人公章：</w:t>
      </w:r>
      <w:r>
        <w:rPr>
          <w:rFonts w:hint="default" w:ascii="Times New Roman" w:hAnsi="Times New Roman" w:eastAsia="宋体" w:cs="Times New Roman"/>
          <w:color w:val="auto"/>
          <w:sz w:val="24"/>
          <w:highlight w:val="none"/>
          <w:u w:val="single"/>
        </w:rPr>
        <w:t xml:space="preserve">             </w:t>
      </w:r>
    </w:p>
    <w:p w14:paraId="6BDE5E3E">
      <w:pPr>
        <w:spacing w:line="360" w:lineRule="auto"/>
        <w:ind w:firstLine="4800" w:firstLineChars="20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日      期：</w:t>
      </w:r>
      <w:r>
        <w:rPr>
          <w:rFonts w:hint="default" w:ascii="Times New Roman" w:hAnsi="Times New Roman" w:eastAsia="宋体" w:cs="Times New Roman"/>
          <w:color w:val="auto"/>
          <w:sz w:val="24"/>
          <w:highlight w:val="none"/>
          <w:u w:val="single"/>
        </w:rPr>
        <w:t xml:space="preserve">             </w:t>
      </w:r>
    </w:p>
    <w:p w14:paraId="4C201A1E">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r>
        <w:rPr>
          <w:rFonts w:hint="default" w:ascii="Times New Roman" w:hAnsi="Times New Roman" w:eastAsia="宋体" w:cs="Times New Roman"/>
          <w:b/>
          <w:color w:val="auto"/>
          <w:sz w:val="28"/>
          <w:szCs w:val="28"/>
          <w:highlight w:val="none"/>
        </w:rPr>
        <w:t>四、授权书</w:t>
      </w:r>
    </w:p>
    <w:p w14:paraId="24C32B45">
      <w:pPr>
        <w:pStyle w:val="11"/>
        <w:snapToGrid w:val="0"/>
        <w:spacing w:line="360" w:lineRule="auto"/>
        <w:ind w:firstLine="480" w:firstLineChars="200"/>
        <w:jc w:val="left"/>
        <w:rPr>
          <w:rFonts w:hint="default" w:ascii="Times New Roman" w:hAnsi="Times New Roman" w:cs="Times New Roman"/>
          <w:color w:val="auto"/>
          <w:sz w:val="24"/>
          <w:szCs w:val="28"/>
          <w:highlight w:val="none"/>
        </w:rPr>
      </w:pPr>
    </w:p>
    <w:p w14:paraId="310F3343">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w:t>
      </w:r>
      <w:r>
        <w:rPr>
          <w:rFonts w:hint="default" w:ascii="Times New Roman" w:hAnsi="Times New Roman" w:eastAsia="宋体" w:cs="Times New Roman"/>
          <w:color w:val="auto"/>
          <w:sz w:val="24"/>
          <w:highlight w:val="none"/>
        </w:rPr>
        <w:t>授权</w:t>
      </w:r>
      <w:r>
        <w:rPr>
          <w:rFonts w:hint="default" w:ascii="Times New Roman" w:hAnsi="Times New Roman" w:eastAsia="宋体" w:cs="Times New Roman"/>
          <w:color w:val="auto"/>
          <w:sz w:val="24"/>
          <w:szCs w:val="28"/>
          <w:highlight w:val="none"/>
        </w:rPr>
        <w:t>书声明：</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（投标人名称）授权</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（投标人授权代表姓名、职务）代表我方参加本项目</w:t>
      </w:r>
      <w:r>
        <w:rPr>
          <w:rFonts w:hint="default" w:ascii="Times New Roman" w:hAnsi="Times New Roman" w:eastAsia="宋体" w:cs="Times New Roman"/>
          <w:bCs/>
          <w:color w:val="auto"/>
          <w:sz w:val="24"/>
          <w:szCs w:val="28"/>
          <w:highlight w:val="none"/>
          <w:lang w:val="en-US" w:eastAsia="zh-CN"/>
        </w:rPr>
        <w:t>投标</w:t>
      </w:r>
      <w:r>
        <w:rPr>
          <w:rFonts w:hint="default" w:ascii="Times New Roman" w:hAnsi="Times New Roman" w:eastAsia="宋体" w:cs="Times New Roman"/>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B551E18">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本授权书自出具之日起生效。</w:t>
      </w:r>
    </w:p>
    <w:p w14:paraId="0F75E5FA">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8"/>
          <w:highlight w:val="none"/>
        </w:rPr>
        <w:t>授权</w:t>
      </w:r>
      <w:r>
        <w:rPr>
          <w:rFonts w:hint="default" w:ascii="Times New Roman" w:hAnsi="Times New Roman" w:eastAsia="宋体" w:cs="Times New Roman"/>
          <w:color w:val="auto"/>
          <w:sz w:val="24"/>
          <w:highlight w:val="none"/>
        </w:rPr>
        <w:t>代表身份证明复印件或影印件：</w:t>
      </w:r>
    </w:p>
    <w:p w14:paraId="6E7AC966">
      <w:pPr>
        <w:spacing w:line="360" w:lineRule="auto"/>
        <w:ind w:firstLine="435"/>
        <w:rPr>
          <w:rFonts w:hint="default" w:ascii="Times New Roman" w:hAnsi="Times New Roman" w:eastAsia="宋体" w:cs="Times New Roman"/>
          <w:color w:val="auto"/>
          <w:sz w:val="24"/>
          <w:highlight w:val="none"/>
        </w:rPr>
      </w:pPr>
    </w:p>
    <w:p w14:paraId="1007EFAE">
      <w:pPr>
        <w:spacing w:line="360" w:lineRule="auto"/>
        <w:ind w:firstLine="435"/>
        <w:rPr>
          <w:rFonts w:hint="default" w:ascii="Times New Roman" w:hAnsi="Times New Roman" w:eastAsia="宋体" w:cs="Times New Roman"/>
          <w:color w:val="auto"/>
          <w:sz w:val="24"/>
          <w:highlight w:val="none"/>
        </w:rPr>
      </w:pPr>
    </w:p>
    <w:p w14:paraId="68A4DA2A">
      <w:pPr>
        <w:spacing w:line="360" w:lineRule="auto"/>
        <w:ind w:firstLine="435"/>
        <w:rPr>
          <w:rFonts w:hint="default" w:ascii="Times New Roman" w:hAnsi="Times New Roman" w:eastAsia="宋体" w:cs="Times New Roman"/>
          <w:color w:val="auto"/>
          <w:sz w:val="24"/>
          <w:highlight w:val="none"/>
        </w:rPr>
      </w:pPr>
    </w:p>
    <w:p w14:paraId="78176E48">
      <w:pPr>
        <w:spacing w:line="360" w:lineRule="auto"/>
        <w:ind w:firstLine="435"/>
        <w:rPr>
          <w:rFonts w:hint="default" w:ascii="Times New Roman" w:hAnsi="Times New Roman" w:eastAsia="宋体" w:cs="Times New Roman"/>
          <w:color w:val="auto"/>
          <w:sz w:val="24"/>
          <w:szCs w:val="28"/>
          <w:highlight w:val="none"/>
          <w:u w:val="single"/>
        </w:rPr>
      </w:pPr>
      <w:r>
        <w:rPr>
          <w:rFonts w:hint="default" w:ascii="Times New Roman" w:hAnsi="Times New Roman" w:eastAsia="宋体" w:cs="Times New Roman"/>
          <w:color w:val="auto"/>
          <w:sz w:val="24"/>
          <w:szCs w:val="28"/>
          <w:highlight w:val="none"/>
        </w:rPr>
        <w:t>授权代表联系方式：</w:t>
      </w:r>
      <w:r>
        <w:rPr>
          <w:rFonts w:hint="default" w:ascii="Times New Roman" w:hAnsi="Times New Roman" w:eastAsia="宋体" w:cs="Times New Roman"/>
          <w:color w:val="auto"/>
          <w:sz w:val="24"/>
          <w:szCs w:val="28"/>
          <w:highlight w:val="none"/>
          <w:u w:val="single"/>
        </w:rPr>
        <w:t xml:space="preserve">          （请填写手机号码）</w:t>
      </w:r>
    </w:p>
    <w:p w14:paraId="1DAC7104">
      <w:pPr>
        <w:spacing w:line="360" w:lineRule="auto"/>
        <w:ind w:firstLine="435"/>
        <w:rPr>
          <w:rFonts w:hint="default" w:ascii="Times New Roman" w:hAnsi="Times New Roman" w:eastAsia="宋体" w:cs="Times New Roman"/>
          <w:color w:val="auto"/>
          <w:sz w:val="24"/>
          <w:szCs w:val="28"/>
          <w:highlight w:val="none"/>
        </w:rPr>
      </w:pPr>
    </w:p>
    <w:p w14:paraId="4FEA859C">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highlight w:val="none"/>
        </w:rPr>
        <w:t>特此</w:t>
      </w:r>
      <w:r>
        <w:rPr>
          <w:rFonts w:hint="default" w:ascii="Times New Roman" w:hAnsi="Times New Roman" w:eastAsia="宋体" w:cs="Times New Roman"/>
          <w:color w:val="auto"/>
          <w:sz w:val="24"/>
          <w:szCs w:val="28"/>
          <w:highlight w:val="none"/>
        </w:rPr>
        <w:t>声明。</w:t>
      </w:r>
    </w:p>
    <w:p w14:paraId="752ADCC7">
      <w:pPr>
        <w:spacing w:line="360" w:lineRule="auto"/>
        <w:rPr>
          <w:rFonts w:hint="default" w:ascii="Times New Roman" w:hAnsi="Times New Roman" w:eastAsia="宋体" w:cs="Times New Roman"/>
          <w:color w:val="auto"/>
          <w:sz w:val="24"/>
          <w:szCs w:val="28"/>
          <w:highlight w:val="none"/>
        </w:rPr>
      </w:pPr>
    </w:p>
    <w:p w14:paraId="02950D9B">
      <w:pPr>
        <w:spacing w:line="360" w:lineRule="auto"/>
        <w:ind w:firstLine="435"/>
        <w:rPr>
          <w:rFonts w:hint="default" w:ascii="Times New Roman" w:hAnsi="Times New Roman" w:eastAsia="宋体" w:cs="Times New Roman"/>
          <w:bCs/>
          <w:color w:val="auto"/>
          <w:sz w:val="24"/>
          <w:szCs w:val="28"/>
          <w:highlight w:val="none"/>
        </w:rPr>
      </w:pPr>
      <w:r>
        <w:rPr>
          <w:rFonts w:hint="default" w:ascii="Times New Roman" w:hAnsi="Times New Roman" w:eastAsia="宋体" w:cs="Times New Roman"/>
          <w:bCs/>
          <w:color w:val="auto"/>
          <w:sz w:val="24"/>
          <w:szCs w:val="28"/>
          <w:highlight w:val="none"/>
        </w:rPr>
        <w:t>投标人公章：</w:t>
      </w:r>
      <w:r>
        <w:rPr>
          <w:rFonts w:hint="default" w:ascii="Times New Roman" w:hAnsi="Times New Roman" w:eastAsia="宋体" w:cs="Times New Roman"/>
          <w:bCs/>
          <w:color w:val="auto"/>
          <w:sz w:val="24"/>
          <w:szCs w:val="28"/>
          <w:highlight w:val="none"/>
          <w:u w:val="single"/>
        </w:rPr>
        <w:t xml:space="preserve">                    </w:t>
      </w:r>
    </w:p>
    <w:p w14:paraId="05933557">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日      期：</w:t>
      </w:r>
      <w:r>
        <w:rPr>
          <w:rFonts w:hint="default" w:ascii="Times New Roman" w:hAnsi="Times New Roman" w:eastAsia="宋体" w:cs="Times New Roman"/>
          <w:b/>
          <w:bCs/>
          <w:color w:val="auto"/>
          <w:sz w:val="24"/>
          <w:szCs w:val="28"/>
          <w:highlight w:val="none"/>
          <w:u w:val="single"/>
        </w:rPr>
        <w:t xml:space="preserve">                    </w:t>
      </w:r>
    </w:p>
    <w:p w14:paraId="72869BF6">
      <w:pPr>
        <w:spacing w:line="360" w:lineRule="auto"/>
        <w:ind w:firstLine="435"/>
        <w:rPr>
          <w:rFonts w:hint="default" w:ascii="Times New Roman" w:hAnsi="Times New Roman" w:eastAsia="宋体" w:cs="Times New Roman"/>
          <w:color w:val="auto"/>
          <w:sz w:val="24"/>
          <w:highlight w:val="none"/>
        </w:rPr>
      </w:pPr>
    </w:p>
    <w:p w14:paraId="35B4EDC4">
      <w:pPr>
        <w:spacing w:line="360" w:lineRule="auto"/>
        <w:ind w:firstLine="435"/>
        <w:rPr>
          <w:rFonts w:hint="default" w:ascii="Times New Roman" w:hAnsi="Times New Roman" w:eastAsia="宋体" w:cs="Times New Roman"/>
          <w:color w:val="auto"/>
          <w:sz w:val="24"/>
          <w:highlight w:val="none"/>
        </w:rPr>
      </w:pPr>
    </w:p>
    <w:p w14:paraId="03E431AC">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注：</w:t>
      </w:r>
    </w:p>
    <w:p w14:paraId="2208B0BE">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1.本项目只允许有唯一的投标人授权代表，提供身份证明复印件；</w:t>
      </w:r>
    </w:p>
    <w:p w14:paraId="2A346747">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2.法定代表人参加投标的无需提供授权书，提供身份证明复印件。</w:t>
      </w:r>
    </w:p>
    <w:p w14:paraId="27BF30EB">
      <w:pPr>
        <w:widowControl/>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br w:type="page"/>
      </w:r>
      <w:bookmarkStart w:id="62" w:name="_Toc507694553"/>
      <w:r>
        <w:rPr>
          <w:rFonts w:hint="default" w:ascii="Times New Roman" w:hAnsi="Times New Roman" w:eastAsia="宋体" w:cs="Times New Roman"/>
          <w:b/>
          <w:bCs/>
          <w:color w:val="auto"/>
          <w:sz w:val="28"/>
          <w:szCs w:val="28"/>
          <w:highlight w:val="none"/>
          <w:lang w:val="en-US" w:eastAsia="zh-CN"/>
        </w:rPr>
        <w:t>五、</w:t>
      </w:r>
      <w:r>
        <w:rPr>
          <w:rFonts w:hint="default" w:ascii="Times New Roman" w:hAnsi="Times New Roman" w:eastAsia="宋体" w:cs="Times New Roman"/>
          <w:b/>
          <w:bCs/>
          <w:color w:val="auto"/>
          <w:sz w:val="28"/>
          <w:szCs w:val="28"/>
          <w:highlight w:val="none"/>
        </w:rPr>
        <w:t>投标业绩承诺函</w:t>
      </w:r>
      <w:bookmarkEnd w:id="62"/>
    </w:p>
    <w:p w14:paraId="18CC59D9">
      <w:pPr>
        <w:widowControl/>
        <w:jc w:val="center"/>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不需要</w:t>
      </w:r>
      <w:r>
        <w:rPr>
          <w:rFonts w:hint="default" w:ascii="Times New Roman" w:hAnsi="Times New Roman" w:eastAsia="宋体" w:cs="Times New Roman"/>
          <w:color w:val="auto"/>
          <w:sz w:val="24"/>
          <w:highlight w:val="none"/>
        </w:rPr>
        <w:br w:type="page"/>
      </w:r>
      <w:bookmarkStart w:id="63" w:name="_Toc507694554"/>
      <w:r>
        <w:rPr>
          <w:rFonts w:hint="default" w:ascii="Times New Roman" w:hAnsi="Times New Roman" w:eastAsia="宋体" w:cs="Times New Roman"/>
          <w:b/>
          <w:bCs/>
          <w:color w:val="auto"/>
          <w:sz w:val="28"/>
          <w:szCs w:val="28"/>
          <w:highlight w:val="none"/>
          <w:lang w:val="en-US" w:eastAsia="zh-CN"/>
        </w:rPr>
        <w:t>六、</w:t>
      </w:r>
      <w:r>
        <w:rPr>
          <w:rFonts w:hint="default" w:ascii="Times New Roman" w:hAnsi="Times New Roman" w:eastAsia="宋体" w:cs="Times New Roman"/>
          <w:b/>
          <w:bCs/>
          <w:color w:val="auto"/>
          <w:sz w:val="28"/>
          <w:szCs w:val="28"/>
          <w:highlight w:val="none"/>
        </w:rPr>
        <w:t>拟投入本项目的人员情况</w:t>
      </w:r>
      <w:bookmarkEnd w:id="63"/>
    </w:p>
    <w:p w14:paraId="23485825">
      <w:pPr>
        <w:widowControl/>
        <w:jc w:val="left"/>
        <w:rPr>
          <w:rFonts w:hint="default" w:ascii="Times New Roman" w:hAnsi="Times New Roman" w:eastAsia="宋体" w:cs="Times New Roman"/>
          <w:color w:val="auto"/>
          <w:sz w:val="24"/>
          <w:highlight w:val="none"/>
        </w:rPr>
      </w:pPr>
    </w:p>
    <w:p w14:paraId="4EBEBB95">
      <w:pPr>
        <w:widowControl/>
        <w:jc w:val="left"/>
        <w:rPr>
          <w:rFonts w:hint="default" w:ascii="Times New Roman" w:hAnsi="Times New Roman" w:eastAsia="宋体" w:cs="Times New Roman"/>
          <w:color w:val="auto"/>
          <w:sz w:val="24"/>
          <w:highlight w:val="none"/>
        </w:rPr>
      </w:pPr>
    </w:p>
    <w:p w14:paraId="6248507C">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（一）项目负责人工作经验承诺函</w:t>
      </w:r>
    </w:p>
    <w:p w14:paraId="4C41012F">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我单位承诺为本项目配备的项目负责人      （填写姓名）具有</w:t>
      </w:r>
      <w:r>
        <w:rPr>
          <w:rFonts w:hint="eastAsia" w:ascii="Times New Roman" w:hAnsi="Times New Roman" w:eastAsia="宋体" w:cs="Times New Roman"/>
          <w:color w:val="auto"/>
          <w:sz w:val="24"/>
          <w:highlight w:val="none"/>
          <w:lang w:val="en-US" w:eastAsia="zh-CN"/>
        </w:rPr>
        <w:t>装修工程</w:t>
      </w:r>
      <w:r>
        <w:rPr>
          <w:rFonts w:hint="default" w:ascii="Times New Roman" w:hAnsi="Times New Roman" w:eastAsia="宋体" w:cs="Times New Roman"/>
          <w:color w:val="auto"/>
          <w:sz w:val="24"/>
          <w:highlight w:val="none"/>
        </w:rPr>
        <w:t>工作经验满    年。招标人可在合同签订前将对项目负责人工作经验进行核实，如有不符，自行承担由此引发的一切后果。</w:t>
      </w:r>
    </w:p>
    <w:p w14:paraId="76592792">
      <w:pPr>
        <w:widowControl/>
        <w:jc w:val="left"/>
        <w:rPr>
          <w:rFonts w:hint="default" w:ascii="Times New Roman" w:hAnsi="Times New Roman" w:eastAsia="宋体" w:cs="Times New Roman"/>
          <w:color w:val="auto"/>
          <w:sz w:val="24"/>
          <w:highlight w:val="none"/>
        </w:rPr>
      </w:pPr>
    </w:p>
    <w:p w14:paraId="7BCAEA2A">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w:t>
      </w:r>
      <w:r>
        <w:rPr>
          <w:rFonts w:hint="default" w:ascii="Times New Roman" w:hAnsi="Times New Roman" w:eastAsia="宋体" w:cs="Times New Roman"/>
          <w:color w:val="auto"/>
          <w:sz w:val="24"/>
          <w:highlight w:val="none"/>
          <w:lang w:val="en-US" w:eastAsia="zh-CN"/>
        </w:rPr>
        <w:t>公</w:t>
      </w:r>
      <w:r>
        <w:rPr>
          <w:rFonts w:hint="default" w:ascii="Times New Roman" w:hAnsi="Times New Roman" w:eastAsia="宋体" w:cs="Times New Roman"/>
          <w:color w:val="auto"/>
          <w:sz w:val="24"/>
          <w:highlight w:val="none"/>
        </w:rPr>
        <w:t xml:space="preserve">章：                     </w:t>
      </w:r>
    </w:p>
    <w:p w14:paraId="14453E6D">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日          期：                      </w:t>
      </w:r>
    </w:p>
    <w:p w14:paraId="04D6B42E">
      <w:pPr>
        <w:widowControl/>
        <w:jc w:val="left"/>
        <w:rPr>
          <w:rFonts w:hint="default" w:ascii="Times New Roman" w:hAnsi="Times New Roman" w:eastAsia="宋体" w:cs="Times New Roman"/>
          <w:color w:val="auto"/>
          <w:sz w:val="24"/>
          <w:highlight w:val="none"/>
        </w:rPr>
      </w:pPr>
    </w:p>
    <w:p w14:paraId="07EE98BC">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其余人员投标人可自行制作格式，应能体现出所有招标文件要求的内容，并附相关证明材料（扫描件）。</w:t>
      </w:r>
    </w:p>
    <w:p w14:paraId="3964A0C7">
      <w:pPr>
        <w:widowControl/>
        <w:jc w:val="left"/>
        <w:rPr>
          <w:rFonts w:hint="default" w:ascii="Times New Roman" w:hAnsi="Times New Roman" w:eastAsia="宋体" w:cs="Times New Roman"/>
          <w:color w:val="auto"/>
          <w:sz w:val="24"/>
          <w:highlight w:val="none"/>
        </w:rPr>
      </w:pPr>
    </w:p>
    <w:p w14:paraId="41E41148">
      <w:pPr>
        <w:rPr>
          <w:rFonts w:hint="default" w:ascii="Times New Roman" w:hAnsi="Times New Roman" w:eastAsia="宋体" w:cs="Times New Roman"/>
          <w:b/>
          <w:color w:val="auto"/>
          <w:sz w:val="24"/>
          <w:highlight w:val="none"/>
        </w:rPr>
      </w:pPr>
    </w:p>
    <w:p w14:paraId="2C9D27E9">
      <w:pPr>
        <w:rPr>
          <w:rFonts w:hint="default" w:ascii="Times New Roman" w:hAnsi="Times New Roman" w:eastAsia="宋体" w:cs="Times New Roman"/>
          <w:b/>
          <w:color w:val="auto"/>
          <w:sz w:val="28"/>
          <w:szCs w:val="28"/>
          <w:highlight w:val="none"/>
        </w:rPr>
      </w:pPr>
    </w:p>
    <w:p w14:paraId="3C0A56F3">
      <w:pPr>
        <w:spacing w:line="360" w:lineRule="auto"/>
        <w:jc w:val="center"/>
        <w:outlineLvl w:val="2"/>
        <w:rPr>
          <w:rFonts w:hint="default" w:ascii="Times New Roman" w:hAnsi="Times New Roman" w:eastAsia="宋体" w:cs="Times New Roman"/>
          <w:b/>
          <w:color w:val="auto"/>
          <w:sz w:val="28"/>
          <w:szCs w:val="28"/>
          <w:highlight w:val="none"/>
        </w:rPr>
      </w:pPr>
      <w:bookmarkStart w:id="64" w:name="_Toc507694556"/>
      <w:r>
        <w:rPr>
          <w:rFonts w:hint="eastAsia" w:ascii="Times New Roman" w:hAnsi="Times New Roman" w:eastAsia="宋体" w:cs="Times New Roman"/>
          <w:b/>
          <w:color w:val="auto"/>
          <w:sz w:val="28"/>
          <w:szCs w:val="28"/>
          <w:highlight w:val="none"/>
          <w:lang w:val="en-US" w:eastAsia="zh-CN"/>
        </w:rPr>
        <w:t>七</w:t>
      </w:r>
      <w:r>
        <w:rPr>
          <w:rFonts w:hint="default" w:ascii="Times New Roman" w:hAnsi="Times New Roman" w:eastAsia="宋体" w:cs="Times New Roman"/>
          <w:b/>
          <w:color w:val="auto"/>
          <w:sz w:val="28"/>
          <w:szCs w:val="28"/>
          <w:highlight w:val="none"/>
          <w:lang w:val="en-US" w:eastAsia="zh-CN"/>
        </w:rPr>
        <w:t>、</w:t>
      </w:r>
      <w:r>
        <w:rPr>
          <w:rFonts w:hint="default" w:ascii="Times New Roman" w:hAnsi="Times New Roman" w:eastAsia="宋体" w:cs="Times New Roman"/>
          <w:b/>
          <w:color w:val="auto"/>
          <w:sz w:val="28"/>
          <w:szCs w:val="28"/>
          <w:highlight w:val="none"/>
        </w:rPr>
        <w:t>服务承诺</w:t>
      </w:r>
      <w:bookmarkEnd w:id="64"/>
    </w:p>
    <w:p w14:paraId="4C90B106">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（供应商可自行制作格式）</w:t>
      </w:r>
    </w:p>
    <w:p w14:paraId="28F77FE9">
      <w:pPr>
        <w:spacing w:line="360" w:lineRule="auto"/>
        <w:jc w:val="center"/>
        <w:outlineLvl w:val="2"/>
        <w:rPr>
          <w:rFonts w:hint="default" w:ascii="Times New Roman" w:hAnsi="Times New Roman" w:eastAsia="宋体" w:cs="Times New Roman"/>
          <w:b/>
          <w:color w:val="auto"/>
          <w:sz w:val="24"/>
          <w:highlight w:val="none"/>
        </w:rPr>
      </w:pPr>
    </w:p>
    <w:p w14:paraId="0FAB148B">
      <w:pPr>
        <w:spacing w:line="360" w:lineRule="auto"/>
        <w:jc w:val="center"/>
        <w:outlineLvl w:val="2"/>
        <w:rPr>
          <w:rFonts w:hint="default" w:ascii="Times New Roman" w:hAnsi="Times New Roman" w:eastAsia="宋体" w:cs="Times New Roman"/>
          <w:b/>
          <w:color w:val="auto"/>
          <w:sz w:val="24"/>
          <w:highlight w:val="none"/>
        </w:rPr>
      </w:pPr>
      <w:bookmarkStart w:id="65" w:name="_Toc220232402"/>
      <w:bookmarkStart w:id="66" w:name="_Toc516969105"/>
      <w:r>
        <w:rPr>
          <w:rFonts w:hint="default" w:ascii="Times New Roman" w:hAnsi="Times New Roman" w:eastAsia="宋体" w:cs="Times New Roman"/>
          <w:b/>
          <w:color w:val="auto"/>
          <w:sz w:val="24"/>
          <w:highlight w:val="none"/>
          <w:lang w:eastAsia="zh-CN"/>
        </w:rPr>
        <w:br w:type="page"/>
      </w:r>
      <w:bookmarkStart w:id="67" w:name="_Toc507694557"/>
      <w:r>
        <w:rPr>
          <w:rFonts w:hint="eastAsia" w:ascii="Times New Roman" w:hAnsi="Times New Roman" w:eastAsia="宋体" w:cs="Times New Roman"/>
          <w:b/>
          <w:color w:val="auto"/>
          <w:sz w:val="28"/>
          <w:szCs w:val="28"/>
          <w:highlight w:val="none"/>
          <w:lang w:val="en-US" w:eastAsia="zh-CN"/>
        </w:rPr>
        <w:t>八</w:t>
      </w:r>
      <w:r>
        <w:rPr>
          <w:rFonts w:hint="default" w:ascii="Times New Roman" w:hAnsi="Times New Roman" w:eastAsia="宋体" w:cs="Times New Roman"/>
          <w:b/>
          <w:color w:val="auto"/>
          <w:sz w:val="28"/>
          <w:szCs w:val="28"/>
          <w:highlight w:val="none"/>
          <w:lang w:val="en-US" w:eastAsia="zh-CN"/>
        </w:rPr>
        <w:t>、</w:t>
      </w:r>
      <w:r>
        <w:rPr>
          <w:rFonts w:hint="default" w:ascii="Times New Roman" w:hAnsi="Times New Roman" w:eastAsia="宋体" w:cs="Times New Roman"/>
          <w:b/>
          <w:color w:val="auto"/>
          <w:sz w:val="28"/>
          <w:szCs w:val="28"/>
          <w:highlight w:val="none"/>
        </w:rPr>
        <w:t>有关证明文件</w:t>
      </w:r>
      <w:bookmarkEnd w:id="65"/>
      <w:bookmarkEnd w:id="66"/>
      <w:bookmarkEnd w:id="67"/>
    </w:p>
    <w:p w14:paraId="65E1F589">
      <w:pPr>
        <w:spacing w:line="360" w:lineRule="auto"/>
        <w:jc w:val="both"/>
        <w:outlineLvl w:val="2"/>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提供符合投标邀请（招标公告）、招标需求及评标办法规定的相关证明文件（制作成扫描件上传）。</w:t>
      </w:r>
    </w:p>
    <w:p w14:paraId="32B5B6F1">
      <w:pPr>
        <w:spacing w:line="360" w:lineRule="auto"/>
        <w:jc w:val="center"/>
        <w:outlineLvl w:val="2"/>
        <w:rPr>
          <w:rFonts w:hint="default" w:ascii="Times New Roman" w:hAnsi="Times New Roman" w:eastAsia="宋体" w:cs="Times New Roman"/>
          <w:b/>
          <w:bCs w:val="0"/>
          <w:color w:val="auto"/>
          <w:sz w:val="24"/>
          <w:highlight w:val="none"/>
        </w:rPr>
      </w:pPr>
      <w:r>
        <w:rPr>
          <w:rFonts w:hint="default" w:ascii="Times New Roman" w:hAnsi="Times New Roman" w:eastAsia="宋体" w:cs="Times New Roman"/>
          <w:b/>
          <w:bCs w:val="0"/>
          <w:color w:val="auto"/>
          <w:sz w:val="24"/>
          <w:highlight w:val="none"/>
        </w:rPr>
        <w:t>特别提示：</w:t>
      </w:r>
    </w:p>
    <w:p w14:paraId="68CC6E41">
      <w:pPr>
        <w:spacing w:line="360" w:lineRule="auto"/>
        <w:jc w:val="both"/>
        <w:outlineLvl w:val="2"/>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投标人在投标文件制作时，在此栏内上传下列材料（包括但不限于）：</w:t>
      </w:r>
    </w:p>
    <w:p w14:paraId="30EB4CD4">
      <w:pPr>
        <w:spacing w:line="360" w:lineRule="auto"/>
        <w:jc w:val="both"/>
        <w:outlineLvl w:val="2"/>
        <w:rPr>
          <w:rFonts w:hint="eastAsia"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rPr>
        <w:t>招标文件要求的其他证明资料，如营业执照、税务登记证、</w:t>
      </w:r>
      <w:r>
        <w:rPr>
          <w:rFonts w:hint="default" w:ascii="Times New Roman" w:hAnsi="Times New Roman" w:eastAsia="宋体" w:cs="Times New Roman"/>
          <w:b w:val="0"/>
          <w:bCs/>
          <w:color w:val="auto"/>
          <w:sz w:val="24"/>
          <w:highlight w:val="none"/>
          <w:lang w:val="en-US" w:eastAsia="zh-CN"/>
        </w:rPr>
        <w:t>资质证书、荣誉奖项</w:t>
      </w:r>
      <w:r>
        <w:rPr>
          <w:rFonts w:hint="default" w:ascii="Times New Roman" w:hAnsi="Times New Roman" w:eastAsia="宋体" w:cs="Times New Roman"/>
          <w:b w:val="0"/>
          <w:bCs/>
          <w:color w:val="auto"/>
          <w:sz w:val="24"/>
          <w:highlight w:val="none"/>
        </w:rPr>
        <w:t>等，应将上述证明材料制作成扫描件上传。</w:t>
      </w:r>
      <w:bookmarkStart w:id="68" w:name="_GoBack"/>
      <w:bookmarkEnd w:id="68"/>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5050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0A1B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50A1BF">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1073"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1761" w:hanging="529"/>
      </w:pPr>
      <w:rPr>
        <w:rFonts w:hint="default"/>
        <w:lang w:val="zh-CN" w:eastAsia="zh-CN" w:bidi="zh-CN"/>
      </w:rPr>
    </w:lvl>
    <w:lvl w:ilvl="2" w:tentative="0">
      <w:start w:val="0"/>
      <w:numFmt w:val="bullet"/>
      <w:lvlText w:val="•"/>
      <w:lvlJc w:val="left"/>
      <w:pPr>
        <w:ind w:left="2443" w:hanging="529"/>
      </w:pPr>
      <w:rPr>
        <w:rFonts w:hint="default"/>
        <w:lang w:val="zh-CN" w:eastAsia="zh-CN" w:bidi="zh-CN"/>
      </w:rPr>
    </w:lvl>
    <w:lvl w:ilvl="3" w:tentative="0">
      <w:start w:val="0"/>
      <w:numFmt w:val="bullet"/>
      <w:lvlText w:val="•"/>
      <w:lvlJc w:val="left"/>
      <w:pPr>
        <w:ind w:left="3124" w:hanging="529"/>
      </w:pPr>
      <w:rPr>
        <w:rFonts w:hint="default"/>
        <w:lang w:val="zh-CN" w:eastAsia="zh-CN" w:bidi="zh-CN"/>
      </w:rPr>
    </w:lvl>
    <w:lvl w:ilvl="4" w:tentative="0">
      <w:start w:val="0"/>
      <w:numFmt w:val="bullet"/>
      <w:lvlText w:val="•"/>
      <w:lvlJc w:val="left"/>
      <w:pPr>
        <w:ind w:left="3806" w:hanging="529"/>
      </w:pPr>
      <w:rPr>
        <w:rFonts w:hint="default"/>
        <w:lang w:val="zh-CN" w:eastAsia="zh-CN" w:bidi="zh-CN"/>
      </w:rPr>
    </w:lvl>
    <w:lvl w:ilvl="5" w:tentative="0">
      <w:start w:val="0"/>
      <w:numFmt w:val="bullet"/>
      <w:lvlText w:val="•"/>
      <w:lvlJc w:val="left"/>
      <w:pPr>
        <w:ind w:left="4487" w:hanging="529"/>
      </w:pPr>
      <w:rPr>
        <w:rFonts w:hint="default"/>
        <w:lang w:val="zh-CN" w:eastAsia="zh-CN" w:bidi="zh-CN"/>
      </w:rPr>
    </w:lvl>
    <w:lvl w:ilvl="6" w:tentative="0">
      <w:start w:val="0"/>
      <w:numFmt w:val="bullet"/>
      <w:lvlText w:val="•"/>
      <w:lvlJc w:val="left"/>
      <w:pPr>
        <w:ind w:left="5169" w:hanging="529"/>
      </w:pPr>
      <w:rPr>
        <w:rFonts w:hint="default"/>
        <w:lang w:val="zh-CN" w:eastAsia="zh-CN" w:bidi="zh-CN"/>
      </w:rPr>
    </w:lvl>
    <w:lvl w:ilvl="7" w:tentative="0">
      <w:start w:val="0"/>
      <w:numFmt w:val="bullet"/>
      <w:lvlText w:val="•"/>
      <w:lvlJc w:val="left"/>
      <w:pPr>
        <w:ind w:left="5850" w:hanging="529"/>
      </w:pPr>
      <w:rPr>
        <w:rFonts w:hint="default"/>
        <w:lang w:val="zh-CN" w:eastAsia="zh-CN" w:bidi="zh-CN"/>
      </w:rPr>
    </w:lvl>
    <w:lvl w:ilvl="8" w:tentative="0">
      <w:start w:val="0"/>
      <w:numFmt w:val="bullet"/>
      <w:lvlText w:val="•"/>
      <w:lvlJc w:val="left"/>
      <w:pPr>
        <w:ind w:left="6532" w:hanging="529"/>
      </w:pPr>
      <w:rPr>
        <w:rFonts w:hint="default"/>
        <w:lang w:val="zh-CN" w:eastAsia="zh-CN" w:bidi="zh-CN"/>
      </w:rPr>
    </w:lvl>
  </w:abstractNum>
  <w:abstractNum w:abstractNumId="1">
    <w:nsid w:val="28410894"/>
    <w:multiLevelType w:val="singleLevel"/>
    <w:tmpl w:val="28410894"/>
    <w:lvl w:ilvl="0" w:tentative="0">
      <w:start w:val="1"/>
      <w:numFmt w:val="chineseCounting"/>
      <w:suff w:val="space"/>
      <w:lvlText w:val="第%1章"/>
      <w:lvlJc w:val="left"/>
      <w:rPr>
        <w:rFonts w:hint="eastAsia"/>
      </w:rPr>
    </w:lvl>
  </w:abstractNum>
  <w:abstractNum w:abstractNumId="2">
    <w:nsid w:val="40B35105"/>
    <w:multiLevelType w:val="multilevel"/>
    <w:tmpl w:val="40B35105"/>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678B3E27"/>
    <w:multiLevelType w:val="singleLevel"/>
    <w:tmpl w:val="678B3E27"/>
    <w:lvl w:ilvl="0" w:tentative="0">
      <w:start w:val="3"/>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YmRiMDdiYTI1MjI3YWIyMzE5MjBhNDFjOWViYTEifQ=="/>
  </w:docVars>
  <w:rsids>
    <w:rsidRoot w:val="00000000"/>
    <w:rsid w:val="004116A6"/>
    <w:rsid w:val="005452AF"/>
    <w:rsid w:val="009C337D"/>
    <w:rsid w:val="00A547EA"/>
    <w:rsid w:val="00A67D58"/>
    <w:rsid w:val="01457570"/>
    <w:rsid w:val="015754F6"/>
    <w:rsid w:val="015A1C53"/>
    <w:rsid w:val="016F04B9"/>
    <w:rsid w:val="0182413A"/>
    <w:rsid w:val="01987147"/>
    <w:rsid w:val="01C0753F"/>
    <w:rsid w:val="01C41842"/>
    <w:rsid w:val="01F1594A"/>
    <w:rsid w:val="020E6397"/>
    <w:rsid w:val="02306473"/>
    <w:rsid w:val="024A0BB7"/>
    <w:rsid w:val="02B04EBD"/>
    <w:rsid w:val="02DE7C7D"/>
    <w:rsid w:val="02EA4873"/>
    <w:rsid w:val="031A67DB"/>
    <w:rsid w:val="0355716B"/>
    <w:rsid w:val="03B44E81"/>
    <w:rsid w:val="03C03826"/>
    <w:rsid w:val="04021749"/>
    <w:rsid w:val="04270BC3"/>
    <w:rsid w:val="04277401"/>
    <w:rsid w:val="046E3282"/>
    <w:rsid w:val="053D4AA7"/>
    <w:rsid w:val="05454606"/>
    <w:rsid w:val="05644C68"/>
    <w:rsid w:val="05777F14"/>
    <w:rsid w:val="057E12A3"/>
    <w:rsid w:val="05AC74D0"/>
    <w:rsid w:val="05EF21A1"/>
    <w:rsid w:val="061B112F"/>
    <w:rsid w:val="06606BFB"/>
    <w:rsid w:val="066606B5"/>
    <w:rsid w:val="068F2674"/>
    <w:rsid w:val="071F2612"/>
    <w:rsid w:val="07666493"/>
    <w:rsid w:val="07A863ED"/>
    <w:rsid w:val="07F053D2"/>
    <w:rsid w:val="08314CF2"/>
    <w:rsid w:val="084A1910"/>
    <w:rsid w:val="08646E76"/>
    <w:rsid w:val="087921F6"/>
    <w:rsid w:val="089A4646"/>
    <w:rsid w:val="08A54D99"/>
    <w:rsid w:val="08DC1251"/>
    <w:rsid w:val="092B34F0"/>
    <w:rsid w:val="09B473B6"/>
    <w:rsid w:val="0A342878"/>
    <w:rsid w:val="0ABA0FCF"/>
    <w:rsid w:val="0AF142C5"/>
    <w:rsid w:val="0B7D3DAB"/>
    <w:rsid w:val="0BA852CC"/>
    <w:rsid w:val="0BEB15AE"/>
    <w:rsid w:val="0BF4501F"/>
    <w:rsid w:val="0C281F69"/>
    <w:rsid w:val="0C3B6140"/>
    <w:rsid w:val="0C6A432F"/>
    <w:rsid w:val="0D152CB4"/>
    <w:rsid w:val="0D1F336B"/>
    <w:rsid w:val="0D7A2C98"/>
    <w:rsid w:val="0D946B5F"/>
    <w:rsid w:val="0DFE7425"/>
    <w:rsid w:val="0E12182B"/>
    <w:rsid w:val="0E386ACC"/>
    <w:rsid w:val="0E464928"/>
    <w:rsid w:val="0E7811DB"/>
    <w:rsid w:val="0EA0672E"/>
    <w:rsid w:val="0EB421D9"/>
    <w:rsid w:val="0EBF36D0"/>
    <w:rsid w:val="0EF95E3E"/>
    <w:rsid w:val="0F234C69"/>
    <w:rsid w:val="0F2D10D5"/>
    <w:rsid w:val="0F67724C"/>
    <w:rsid w:val="0F7B6853"/>
    <w:rsid w:val="0FCB3337"/>
    <w:rsid w:val="102F7D69"/>
    <w:rsid w:val="108D2CE2"/>
    <w:rsid w:val="10EE19D3"/>
    <w:rsid w:val="115630D4"/>
    <w:rsid w:val="11716160"/>
    <w:rsid w:val="118155DC"/>
    <w:rsid w:val="11880453"/>
    <w:rsid w:val="120D57FE"/>
    <w:rsid w:val="12130FC5"/>
    <w:rsid w:val="123449D2"/>
    <w:rsid w:val="1351449B"/>
    <w:rsid w:val="1360648C"/>
    <w:rsid w:val="13833F28"/>
    <w:rsid w:val="138403CC"/>
    <w:rsid w:val="13D824C6"/>
    <w:rsid w:val="13E744B7"/>
    <w:rsid w:val="14183B6D"/>
    <w:rsid w:val="14215DB3"/>
    <w:rsid w:val="147246C9"/>
    <w:rsid w:val="152A6D51"/>
    <w:rsid w:val="15712BD2"/>
    <w:rsid w:val="15877D00"/>
    <w:rsid w:val="159E7B51"/>
    <w:rsid w:val="15BC4684"/>
    <w:rsid w:val="15D171CD"/>
    <w:rsid w:val="16481B85"/>
    <w:rsid w:val="16C32FBA"/>
    <w:rsid w:val="17312619"/>
    <w:rsid w:val="17966920"/>
    <w:rsid w:val="17A54DB5"/>
    <w:rsid w:val="17AD77C6"/>
    <w:rsid w:val="17B16829"/>
    <w:rsid w:val="17C70888"/>
    <w:rsid w:val="18982224"/>
    <w:rsid w:val="18B43502"/>
    <w:rsid w:val="18C748B7"/>
    <w:rsid w:val="19324427"/>
    <w:rsid w:val="197B5DCD"/>
    <w:rsid w:val="198527A8"/>
    <w:rsid w:val="19A47811"/>
    <w:rsid w:val="19C332D1"/>
    <w:rsid w:val="1A257AC8"/>
    <w:rsid w:val="1A4D7E61"/>
    <w:rsid w:val="1ACE4623"/>
    <w:rsid w:val="1B0066EA"/>
    <w:rsid w:val="1B0E4A1F"/>
    <w:rsid w:val="1B3F2E2B"/>
    <w:rsid w:val="1B8847D2"/>
    <w:rsid w:val="1BCF0653"/>
    <w:rsid w:val="1BEF65FF"/>
    <w:rsid w:val="1C646FED"/>
    <w:rsid w:val="1C7B4336"/>
    <w:rsid w:val="1CC63804"/>
    <w:rsid w:val="1CD31A7D"/>
    <w:rsid w:val="1D175E0D"/>
    <w:rsid w:val="1D94745E"/>
    <w:rsid w:val="1DF72F2A"/>
    <w:rsid w:val="1E004AF3"/>
    <w:rsid w:val="1E85149C"/>
    <w:rsid w:val="1EBF04EE"/>
    <w:rsid w:val="1F114ADE"/>
    <w:rsid w:val="1F220A99"/>
    <w:rsid w:val="1F30765A"/>
    <w:rsid w:val="1F550E6F"/>
    <w:rsid w:val="1F9C52EC"/>
    <w:rsid w:val="1FFD6E47"/>
    <w:rsid w:val="200908B3"/>
    <w:rsid w:val="2020147D"/>
    <w:rsid w:val="20521380"/>
    <w:rsid w:val="207C3664"/>
    <w:rsid w:val="208819E3"/>
    <w:rsid w:val="20AC786F"/>
    <w:rsid w:val="20CF4C51"/>
    <w:rsid w:val="20E00C0C"/>
    <w:rsid w:val="211E6092"/>
    <w:rsid w:val="21577120"/>
    <w:rsid w:val="217D645B"/>
    <w:rsid w:val="2197576F"/>
    <w:rsid w:val="21D56297"/>
    <w:rsid w:val="22341F66"/>
    <w:rsid w:val="22833F45"/>
    <w:rsid w:val="22881DB8"/>
    <w:rsid w:val="228C104B"/>
    <w:rsid w:val="22E449E3"/>
    <w:rsid w:val="22F4274D"/>
    <w:rsid w:val="230C5CE8"/>
    <w:rsid w:val="232B2612"/>
    <w:rsid w:val="2358717F"/>
    <w:rsid w:val="236663A1"/>
    <w:rsid w:val="248A5117"/>
    <w:rsid w:val="248F5924"/>
    <w:rsid w:val="24C85C3F"/>
    <w:rsid w:val="252E63EA"/>
    <w:rsid w:val="25A0096A"/>
    <w:rsid w:val="25BC1C48"/>
    <w:rsid w:val="25E40110"/>
    <w:rsid w:val="25F72C80"/>
    <w:rsid w:val="269702A0"/>
    <w:rsid w:val="26CB1A16"/>
    <w:rsid w:val="270D202F"/>
    <w:rsid w:val="276B56D3"/>
    <w:rsid w:val="27B01A7B"/>
    <w:rsid w:val="2818512F"/>
    <w:rsid w:val="286E7CD8"/>
    <w:rsid w:val="28F17E5A"/>
    <w:rsid w:val="293B3DB1"/>
    <w:rsid w:val="2964687E"/>
    <w:rsid w:val="29A94291"/>
    <w:rsid w:val="29F55728"/>
    <w:rsid w:val="2A0C65CE"/>
    <w:rsid w:val="2A1C4BB6"/>
    <w:rsid w:val="2A1F09F7"/>
    <w:rsid w:val="2A2D1392"/>
    <w:rsid w:val="2A377AEF"/>
    <w:rsid w:val="2A522B7B"/>
    <w:rsid w:val="2A685EFA"/>
    <w:rsid w:val="2AC375D4"/>
    <w:rsid w:val="2ADE7F6A"/>
    <w:rsid w:val="2B2378D5"/>
    <w:rsid w:val="2B475678"/>
    <w:rsid w:val="2B594413"/>
    <w:rsid w:val="2B801021"/>
    <w:rsid w:val="2BC93943"/>
    <w:rsid w:val="2BCB6C93"/>
    <w:rsid w:val="2BD80E5D"/>
    <w:rsid w:val="2C02237E"/>
    <w:rsid w:val="2C483A28"/>
    <w:rsid w:val="2C772424"/>
    <w:rsid w:val="2C7F39CF"/>
    <w:rsid w:val="2C9A6598"/>
    <w:rsid w:val="2C9F7BCD"/>
    <w:rsid w:val="2CD47877"/>
    <w:rsid w:val="2CD755B9"/>
    <w:rsid w:val="2CEB2E12"/>
    <w:rsid w:val="2D727090"/>
    <w:rsid w:val="2D7C10D0"/>
    <w:rsid w:val="2DB15E0A"/>
    <w:rsid w:val="2DCD42C6"/>
    <w:rsid w:val="2E9121D0"/>
    <w:rsid w:val="2EF20488"/>
    <w:rsid w:val="2F723377"/>
    <w:rsid w:val="2F8D2526"/>
    <w:rsid w:val="2F917CA1"/>
    <w:rsid w:val="2FF41FDE"/>
    <w:rsid w:val="306B6744"/>
    <w:rsid w:val="306F7027"/>
    <w:rsid w:val="317754B9"/>
    <w:rsid w:val="318C636F"/>
    <w:rsid w:val="31D10829"/>
    <w:rsid w:val="32715B68"/>
    <w:rsid w:val="329655CE"/>
    <w:rsid w:val="32DA370D"/>
    <w:rsid w:val="34106055"/>
    <w:rsid w:val="34545741"/>
    <w:rsid w:val="345B6AD0"/>
    <w:rsid w:val="34D67A66"/>
    <w:rsid w:val="353E4427"/>
    <w:rsid w:val="35564870"/>
    <w:rsid w:val="358137C5"/>
    <w:rsid w:val="35944047"/>
    <w:rsid w:val="35BE324A"/>
    <w:rsid w:val="35F965A0"/>
    <w:rsid w:val="362C0724"/>
    <w:rsid w:val="36E72988"/>
    <w:rsid w:val="36EE7787"/>
    <w:rsid w:val="376A2D32"/>
    <w:rsid w:val="377F2AD5"/>
    <w:rsid w:val="37857C71"/>
    <w:rsid w:val="37F25055"/>
    <w:rsid w:val="383C2774"/>
    <w:rsid w:val="38934A8A"/>
    <w:rsid w:val="392E1474"/>
    <w:rsid w:val="3946010D"/>
    <w:rsid w:val="397733A5"/>
    <w:rsid w:val="39A66458"/>
    <w:rsid w:val="39F8091D"/>
    <w:rsid w:val="3A092B2A"/>
    <w:rsid w:val="3B141786"/>
    <w:rsid w:val="3B862684"/>
    <w:rsid w:val="3B911029"/>
    <w:rsid w:val="3BD31641"/>
    <w:rsid w:val="3C63209A"/>
    <w:rsid w:val="3CC52D38"/>
    <w:rsid w:val="3D597924"/>
    <w:rsid w:val="3D632551"/>
    <w:rsid w:val="3D6F788E"/>
    <w:rsid w:val="3D803103"/>
    <w:rsid w:val="3DB56AF2"/>
    <w:rsid w:val="3DBF00CF"/>
    <w:rsid w:val="3DF0467F"/>
    <w:rsid w:val="3E0B6E71"/>
    <w:rsid w:val="3E8F7AA2"/>
    <w:rsid w:val="3EA071C8"/>
    <w:rsid w:val="3EAB0350"/>
    <w:rsid w:val="3F676EF0"/>
    <w:rsid w:val="3FBA6DA0"/>
    <w:rsid w:val="3FD37E62"/>
    <w:rsid w:val="4081341A"/>
    <w:rsid w:val="40B7508E"/>
    <w:rsid w:val="40D54524"/>
    <w:rsid w:val="40ED0AAF"/>
    <w:rsid w:val="415D593F"/>
    <w:rsid w:val="41790595"/>
    <w:rsid w:val="421A1D78"/>
    <w:rsid w:val="426E79CE"/>
    <w:rsid w:val="42AB29D0"/>
    <w:rsid w:val="430640AA"/>
    <w:rsid w:val="432804C5"/>
    <w:rsid w:val="43587F3D"/>
    <w:rsid w:val="43790D20"/>
    <w:rsid w:val="438F1583"/>
    <w:rsid w:val="441A605F"/>
    <w:rsid w:val="448160DE"/>
    <w:rsid w:val="44D04970"/>
    <w:rsid w:val="451A13A3"/>
    <w:rsid w:val="45703A5D"/>
    <w:rsid w:val="45834BF4"/>
    <w:rsid w:val="45D20C54"/>
    <w:rsid w:val="467C16D7"/>
    <w:rsid w:val="46AE739A"/>
    <w:rsid w:val="46D5626E"/>
    <w:rsid w:val="470310B3"/>
    <w:rsid w:val="478F28C0"/>
    <w:rsid w:val="479E6FA7"/>
    <w:rsid w:val="47F44E19"/>
    <w:rsid w:val="480F63E1"/>
    <w:rsid w:val="481E1E96"/>
    <w:rsid w:val="48F67EAB"/>
    <w:rsid w:val="491312CF"/>
    <w:rsid w:val="49292E7D"/>
    <w:rsid w:val="495A5150"/>
    <w:rsid w:val="49951CE4"/>
    <w:rsid w:val="499A6287"/>
    <w:rsid w:val="49DB3A4D"/>
    <w:rsid w:val="49F17862"/>
    <w:rsid w:val="4A286FFC"/>
    <w:rsid w:val="4A8C063F"/>
    <w:rsid w:val="4AF04EF2"/>
    <w:rsid w:val="4B46773A"/>
    <w:rsid w:val="4B810B65"/>
    <w:rsid w:val="4B9506C1"/>
    <w:rsid w:val="4BD27718"/>
    <w:rsid w:val="4BEB02E1"/>
    <w:rsid w:val="4C0849EF"/>
    <w:rsid w:val="4C207F8B"/>
    <w:rsid w:val="4C5B5467"/>
    <w:rsid w:val="4C6065D9"/>
    <w:rsid w:val="4C7A0F31"/>
    <w:rsid w:val="4CC528E0"/>
    <w:rsid w:val="4D2515D1"/>
    <w:rsid w:val="4D634646"/>
    <w:rsid w:val="4D973C2C"/>
    <w:rsid w:val="4DAB1E02"/>
    <w:rsid w:val="4E141316"/>
    <w:rsid w:val="4E4837C9"/>
    <w:rsid w:val="4E9C0BC5"/>
    <w:rsid w:val="4EFA0F67"/>
    <w:rsid w:val="4F111E0D"/>
    <w:rsid w:val="4F2204BE"/>
    <w:rsid w:val="4F846A83"/>
    <w:rsid w:val="4FD73056"/>
    <w:rsid w:val="4FE85264"/>
    <w:rsid w:val="50303144"/>
    <w:rsid w:val="50731F61"/>
    <w:rsid w:val="50C81103"/>
    <w:rsid w:val="511B3417"/>
    <w:rsid w:val="513F5914"/>
    <w:rsid w:val="51A52C5F"/>
    <w:rsid w:val="51C969CF"/>
    <w:rsid w:val="51F36142"/>
    <w:rsid w:val="51FC4FF6"/>
    <w:rsid w:val="52624A8D"/>
    <w:rsid w:val="526B5CD8"/>
    <w:rsid w:val="52AD4542"/>
    <w:rsid w:val="534327B1"/>
    <w:rsid w:val="53446C55"/>
    <w:rsid w:val="53A019B1"/>
    <w:rsid w:val="53A4545B"/>
    <w:rsid w:val="53F35F85"/>
    <w:rsid w:val="541A2A72"/>
    <w:rsid w:val="54C57380"/>
    <w:rsid w:val="5543769D"/>
    <w:rsid w:val="557D644E"/>
    <w:rsid w:val="55F45FE4"/>
    <w:rsid w:val="55F81F79"/>
    <w:rsid w:val="560E652F"/>
    <w:rsid w:val="562C577E"/>
    <w:rsid w:val="5680139E"/>
    <w:rsid w:val="569752EE"/>
    <w:rsid w:val="57462870"/>
    <w:rsid w:val="577473DD"/>
    <w:rsid w:val="57E9601D"/>
    <w:rsid w:val="580F060B"/>
    <w:rsid w:val="581B5AAA"/>
    <w:rsid w:val="58627B7D"/>
    <w:rsid w:val="58BC54DF"/>
    <w:rsid w:val="597B52F1"/>
    <w:rsid w:val="59D25CE9"/>
    <w:rsid w:val="59E206E5"/>
    <w:rsid w:val="5A4B6B1B"/>
    <w:rsid w:val="5A9F29C3"/>
    <w:rsid w:val="5AD92379"/>
    <w:rsid w:val="5AFE1DDF"/>
    <w:rsid w:val="5B0D3DD0"/>
    <w:rsid w:val="5B500161"/>
    <w:rsid w:val="5B7C4AB2"/>
    <w:rsid w:val="5B834092"/>
    <w:rsid w:val="5B975D90"/>
    <w:rsid w:val="5C0A6562"/>
    <w:rsid w:val="5C186ED1"/>
    <w:rsid w:val="5C2F421A"/>
    <w:rsid w:val="5C317F92"/>
    <w:rsid w:val="5C493291"/>
    <w:rsid w:val="5C6C4B26"/>
    <w:rsid w:val="5CA00C74"/>
    <w:rsid w:val="5CA644DC"/>
    <w:rsid w:val="5CF324D6"/>
    <w:rsid w:val="5D301FF8"/>
    <w:rsid w:val="5D347D3A"/>
    <w:rsid w:val="5D6B3030"/>
    <w:rsid w:val="5DC16C09"/>
    <w:rsid w:val="5DE40963"/>
    <w:rsid w:val="5DF9063C"/>
    <w:rsid w:val="5EBD78BB"/>
    <w:rsid w:val="5F4F0E5B"/>
    <w:rsid w:val="5F585836"/>
    <w:rsid w:val="5FC1162D"/>
    <w:rsid w:val="5FE570CA"/>
    <w:rsid w:val="60AE55FF"/>
    <w:rsid w:val="60B66CB8"/>
    <w:rsid w:val="6153693F"/>
    <w:rsid w:val="6162299C"/>
    <w:rsid w:val="618B5A4F"/>
    <w:rsid w:val="619F14FA"/>
    <w:rsid w:val="61A445BF"/>
    <w:rsid w:val="62233ED9"/>
    <w:rsid w:val="62843025"/>
    <w:rsid w:val="62A751AD"/>
    <w:rsid w:val="62B23934"/>
    <w:rsid w:val="62DF1CCA"/>
    <w:rsid w:val="631657EC"/>
    <w:rsid w:val="636B1FDC"/>
    <w:rsid w:val="636C18B0"/>
    <w:rsid w:val="636E387A"/>
    <w:rsid w:val="646808EA"/>
    <w:rsid w:val="6470717E"/>
    <w:rsid w:val="648D7D30"/>
    <w:rsid w:val="64AF7CA6"/>
    <w:rsid w:val="64EE6A20"/>
    <w:rsid w:val="651B17E0"/>
    <w:rsid w:val="65757142"/>
    <w:rsid w:val="65962C14"/>
    <w:rsid w:val="65A86FF2"/>
    <w:rsid w:val="65DC4ACB"/>
    <w:rsid w:val="661F0E5C"/>
    <w:rsid w:val="66256220"/>
    <w:rsid w:val="66521231"/>
    <w:rsid w:val="66723681"/>
    <w:rsid w:val="66757F23"/>
    <w:rsid w:val="66CF4630"/>
    <w:rsid w:val="66D479AB"/>
    <w:rsid w:val="671F5ADA"/>
    <w:rsid w:val="68404B70"/>
    <w:rsid w:val="685F7C35"/>
    <w:rsid w:val="688B4586"/>
    <w:rsid w:val="68A815DC"/>
    <w:rsid w:val="6A45623B"/>
    <w:rsid w:val="6A7379C8"/>
    <w:rsid w:val="6A7A6FA8"/>
    <w:rsid w:val="6B625A72"/>
    <w:rsid w:val="6BAE6F0A"/>
    <w:rsid w:val="6BB021BC"/>
    <w:rsid w:val="6BCA186A"/>
    <w:rsid w:val="6C5630FD"/>
    <w:rsid w:val="6C6A4337"/>
    <w:rsid w:val="6C7F0402"/>
    <w:rsid w:val="6C7F08A6"/>
    <w:rsid w:val="6CFE7A1D"/>
    <w:rsid w:val="6D162FB8"/>
    <w:rsid w:val="6D3C22F3"/>
    <w:rsid w:val="6D877A12"/>
    <w:rsid w:val="6D943EDD"/>
    <w:rsid w:val="6DBD1686"/>
    <w:rsid w:val="6E060C17"/>
    <w:rsid w:val="6E2A4841"/>
    <w:rsid w:val="6E602F34"/>
    <w:rsid w:val="6EF410D7"/>
    <w:rsid w:val="6F062BB9"/>
    <w:rsid w:val="6FB24AEE"/>
    <w:rsid w:val="70333E81"/>
    <w:rsid w:val="70613C89"/>
    <w:rsid w:val="70700C31"/>
    <w:rsid w:val="709A471E"/>
    <w:rsid w:val="70FF766E"/>
    <w:rsid w:val="711315BD"/>
    <w:rsid w:val="717007BD"/>
    <w:rsid w:val="71A82713"/>
    <w:rsid w:val="71DA7ECC"/>
    <w:rsid w:val="73041B05"/>
    <w:rsid w:val="730B43B7"/>
    <w:rsid w:val="735A7977"/>
    <w:rsid w:val="73B254A9"/>
    <w:rsid w:val="73E334C8"/>
    <w:rsid w:val="73F27BAF"/>
    <w:rsid w:val="74035919"/>
    <w:rsid w:val="744A1799"/>
    <w:rsid w:val="74575C64"/>
    <w:rsid w:val="74E25E76"/>
    <w:rsid w:val="751F2C26"/>
    <w:rsid w:val="755F74C6"/>
    <w:rsid w:val="7592164A"/>
    <w:rsid w:val="75B25848"/>
    <w:rsid w:val="75EB48B6"/>
    <w:rsid w:val="75F53987"/>
    <w:rsid w:val="76193DF8"/>
    <w:rsid w:val="76213A9E"/>
    <w:rsid w:val="76236746"/>
    <w:rsid w:val="76342701"/>
    <w:rsid w:val="763F4F79"/>
    <w:rsid w:val="7653333A"/>
    <w:rsid w:val="7684354B"/>
    <w:rsid w:val="76C577FD"/>
    <w:rsid w:val="76E13F88"/>
    <w:rsid w:val="76E61C4D"/>
    <w:rsid w:val="76F93EE1"/>
    <w:rsid w:val="771340C5"/>
    <w:rsid w:val="77516C75"/>
    <w:rsid w:val="77903967"/>
    <w:rsid w:val="77BC2C03"/>
    <w:rsid w:val="78AF42C1"/>
    <w:rsid w:val="78BE3462"/>
    <w:rsid w:val="78EA354B"/>
    <w:rsid w:val="796C31B8"/>
    <w:rsid w:val="7AAC6D0A"/>
    <w:rsid w:val="7B046B46"/>
    <w:rsid w:val="7B3665D4"/>
    <w:rsid w:val="7C3617EF"/>
    <w:rsid w:val="7C4D62CB"/>
    <w:rsid w:val="7CDD6772"/>
    <w:rsid w:val="7CDE5175"/>
    <w:rsid w:val="7D341239"/>
    <w:rsid w:val="7D4B192B"/>
    <w:rsid w:val="7D741635"/>
    <w:rsid w:val="7DC71B09"/>
    <w:rsid w:val="7DCE654B"/>
    <w:rsid w:val="7E9E4BBC"/>
    <w:rsid w:val="7EBC14E6"/>
    <w:rsid w:val="7EC108AA"/>
    <w:rsid w:val="7EF26CB5"/>
    <w:rsid w:val="7F8F775C"/>
    <w:rsid w:val="7FEB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方正小标宋简体" w:cs="方正小标宋简体" w:asciiTheme="minorHAnsi" w:hAnsiTheme="minorHAnsi"/>
      <w:kern w:val="20"/>
      <w:sz w:val="44"/>
      <w:szCs w:val="4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autoRedefine/>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6">
    <w:name w:val="annotation text"/>
    <w:basedOn w:val="1"/>
    <w:qFormat/>
    <w:uiPriority w:val="0"/>
    <w:pPr>
      <w:jc w:val="left"/>
    </w:pPr>
  </w:style>
  <w:style w:type="paragraph" w:styleId="7">
    <w:name w:val="Body Text"/>
    <w:basedOn w:val="1"/>
    <w:next w:val="8"/>
    <w:autoRedefine/>
    <w:qFormat/>
    <w:uiPriority w:val="0"/>
    <w:rPr>
      <w:rFonts w:ascii="宋体" w:hAnsi="Arial" w:eastAsia="宋体" w:cs="Times New Roman"/>
      <w:sz w:val="28"/>
    </w:rPr>
  </w:style>
  <w:style w:type="paragraph" w:styleId="8">
    <w:name w:val="Body Text 2"/>
    <w:basedOn w:val="1"/>
    <w:autoRedefine/>
    <w:qFormat/>
    <w:uiPriority w:val="0"/>
    <w:pPr>
      <w:spacing w:line="360" w:lineRule="auto"/>
    </w:pPr>
    <w:rPr>
      <w:rFonts w:ascii="宋体"/>
      <w:spacing w:val="-20"/>
      <w:sz w:val="28"/>
      <w:szCs w:val="20"/>
    </w:rPr>
  </w:style>
  <w:style w:type="paragraph" w:styleId="9">
    <w:name w:val="Body Text Indent"/>
    <w:basedOn w:val="1"/>
    <w:next w:val="10"/>
    <w:autoRedefine/>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10">
    <w:name w:val="envelope return"/>
    <w:basedOn w:val="1"/>
    <w:autoRedefine/>
    <w:qFormat/>
    <w:uiPriority w:val="0"/>
    <w:pPr>
      <w:snapToGrid w:val="0"/>
    </w:pPr>
    <w:rPr>
      <w:rFonts w:ascii="Arial" w:hAnsi="Arial" w:cs="Arial"/>
      <w:szCs w:val="20"/>
    </w:rPr>
  </w:style>
  <w:style w:type="paragraph" w:styleId="11">
    <w:name w:val="Plain Text"/>
    <w:basedOn w:val="1"/>
    <w:autoRedefine/>
    <w:qFormat/>
    <w:uiPriority w:val="99"/>
    <w:rPr>
      <w:rFonts w:ascii="宋体" w:hAnsi="Courier New" w:eastAsia="宋体" w:cs="黑体"/>
      <w:szCs w:val="22"/>
    </w:rPr>
  </w:style>
  <w:style w:type="paragraph" w:styleId="12">
    <w:name w:val="Date"/>
    <w:basedOn w:val="1"/>
    <w:next w:val="1"/>
    <w:autoRedefine/>
    <w:qFormat/>
    <w:uiPriority w:val="0"/>
    <w:rPr>
      <w:rFonts w:ascii="Arial" w:hAnsi="Arial" w:eastAsia="宋体" w:cs="Arial"/>
      <w:b/>
      <w:sz w:val="28"/>
    </w:rPr>
  </w:style>
  <w:style w:type="paragraph" w:styleId="13">
    <w:name w:val="footer"/>
    <w:basedOn w:val="1"/>
    <w:autoRedefine/>
    <w:unhideWhenUsed/>
    <w:qFormat/>
    <w:uiPriority w:val="99"/>
    <w:pPr>
      <w:tabs>
        <w:tab w:val="center" w:pos="4153"/>
        <w:tab w:val="right" w:pos="8306"/>
      </w:tabs>
      <w:snapToGrid w:val="0"/>
      <w:jc w:val="left"/>
    </w:pPr>
    <w:rPr>
      <w:sz w:val="18"/>
      <w:szCs w:val="18"/>
    </w:rPr>
  </w:style>
  <w:style w:type="paragraph" w:styleId="1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index 1"/>
    <w:basedOn w:val="1"/>
    <w:next w:val="1"/>
    <w:autoRedefine/>
    <w:qFormat/>
    <w:uiPriority w:val="0"/>
    <w:pPr>
      <w:jc w:val="center"/>
    </w:pPr>
    <w:rPr>
      <w:rFonts w:ascii="Arial" w:hAnsi="Arial" w:eastAsia="Arial" w:cs="Arial"/>
      <w:b/>
      <w:bCs/>
      <w:sz w:val="28"/>
    </w:rPr>
  </w:style>
  <w:style w:type="paragraph" w:styleId="16">
    <w:name w:val="Body Text First Indent 2"/>
    <w:basedOn w:val="9"/>
    <w:next w:val="1"/>
    <w:autoRedefine/>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表格文字"/>
    <w:basedOn w:val="1"/>
    <w:next w:val="7"/>
    <w:autoRedefine/>
    <w:qFormat/>
    <w:uiPriority w:val="0"/>
    <w:pPr>
      <w:spacing w:line="240" w:lineRule="auto"/>
      <w:ind w:firstLine="0" w:firstLineChars="0"/>
      <w:jc w:val="center"/>
    </w:pPr>
    <w:rPr>
      <w:rFonts w:cs="Times New Roman"/>
      <w:kern w:val="0"/>
      <w:sz w:val="20"/>
    </w:rPr>
  </w:style>
  <w:style w:type="paragraph" w:customStyle="1" w:styleId="2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22">
    <w:name w:val="Table Paragraph"/>
    <w:basedOn w:val="1"/>
    <w:autoRedefine/>
    <w:qFormat/>
    <w:uiPriority w:val="1"/>
    <w:rPr>
      <w:rFonts w:ascii="宋体" w:hAnsi="宋体" w:eastAsia="宋体" w:cs="宋体"/>
      <w:lang w:val="zh-CN" w:eastAsia="zh-CN" w:bidi="zh-CN"/>
    </w:rPr>
  </w:style>
  <w:style w:type="paragraph" w:customStyle="1" w:styleId="2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styleId="24">
    <w:name w:val="List Paragraph"/>
    <w:basedOn w:val="1"/>
    <w:autoRedefine/>
    <w:qFormat/>
    <w:uiPriority w:val="99"/>
    <w:pPr>
      <w:ind w:firstLine="420" w:firstLineChars="200"/>
    </w:pPr>
  </w:style>
  <w:style w:type="paragraph" w:customStyle="1" w:styleId="25">
    <w:name w:val="D&amp;L"/>
    <w:basedOn w:val="1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6">
    <w:name w:val="font11"/>
    <w:basedOn w:val="19"/>
    <w:autoRedefine/>
    <w:qFormat/>
    <w:uiPriority w:val="0"/>
    <w:rPr>
      <w:rFonts w:hint="eastAsia" w:ascii="宋体" w:hAnsi="宋体" w:eastAsia="宋体" w:cs="宋体"/>
      <w:color w:val="000000"/>
      <w:sz w:val="21"/>
      <w:szCs w:val="21"/>
      <w:u w:val="none"/>
    </w:rPr>
  </w:style>
  <w:style w:type="table" w:customStyle="1" w:styleId="2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21372</Words>
  <Characters>22484</Characters>
  <Lines>0</Lines>
  <Paragraphs>0</Paragraphs>
  <TotalTime>41</TotalTime>
  <ScaleCrop>false</ScaleCrop>
  <LinksUpToDate>false</LinksUpToDate>
  <CharactersWithSpaces>23730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2023-05-29T00:41:00Z</dcterms:created>
  <dc:creator>THINKPAD</dc:creator>
  <cp:lastModifiedBy>Liquidambar</cp:lastModifiedBy>
  <cp:lastPrinted>2023-10-26T00:52:00Z</cp:lastPrinted>
  <dcterms:modified xsi:type="dcterms:W3CDTF">2024-07-17T02:16:36Z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211FFC9023844E02AE698345A10056AB_13</vt:lpwstr>
  </property>
</Properties>
</file>