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rPr>
          <w:rFonts w:hint="eastAsia"/>
        </w:rPr>
      </w:pPr>
    </w:p>
    <w:p>
      <w:pPr>
        <w:jc w:val="center"/>
        <w:rPr>
          <w:rFonts w:hint="eastAsia"/>
        </w:rPr>
      </w:pPr>
      <w:r>
        <w:rPr>
          <w:rFonts w:hint="eastAsia"/>
          <w:sz w:val="96"/>
          <w:szCs w:val="96"/>
        </w:rPr>
        <w:t>招 标 文 件</w:t>
      </w:r>
    </w:p>
    <w:p>
      <w:pPr>
        <w:jc w:val="center"/>
        <w:rPr>
          <w:rFonts w:hint="eastAsia"/>
        </w:rPr>
      </w:pPr>
      <w:r>
        <w:rPr>
          <w:rFonts w:hint="eastAsia"/>
        </w:rPr>
        <w:t>（</w:t>
      </w:r>
      <w:r>
        <w:rPr>
          <w:rFonts w:hint="eastAsia"/>
          <w:lang w:val="en-US" w:eastAsia="zh-CN"/>
        </w:rPr>
        <w:t>工程</w:t>
      </w:r>
      <w:r>
        <w:rPr>
          <w:rFonts w:hint="eastAsia"/>
        </w:rPr>
        <w:t>类）</w:t>
      </w:r>
    </w:p>
    <w:p>
      <w:pPr>
        <w:jc w:val="center"/>
        <w:rPr>
          <w:rFonts w:hint="eastAsia"/>
        </w:rPr>
      </w:pPr>
    </w:p>
    <w:p>
      <w:pPr>
        <w:jc w:val="center"/>
        <w:rPr>
          <w:rFonts w:hint="eastAsia"/>
        </w:rPr>
      </w:pPr>
    </w:p>
    <w:p>
      <w:pPr>
        <w:jc w:val="both"/>
        <w:rPr>
          <w:rFonts w:hint="eastAsia"/>
          <w:b w:val="0"/>
          <w:bCs w:val="0"/>
          <w:sz w:val="32"/>
          <w:szCs w:val="32"/>
        </w:rPr>
      </w:pPr>
    </w:p>
    <w:p>
      <w:pPr>
        <w:jc w:val="both"/>
        <w:rPr>
          <w:rFonts w:hint="eastAsia"/>
          <w:b w:val="0"/>
          <w:bCs w:val="0"/>
          <w:sz w:val="32"/>
          <w:szCs w:val="32"/>
        </w:rPr>
      </w:pPr>
    </w:p>
    <w:p>
      <w:pPr>
        <w:ind w:firstLine="1280" w:firstLineChars="400"/>
        <w:jc w:val="both"/>
        <w:rPr>
          <w:rFonts w:hint="default"/>
          <w:b w:val="0"/>
          <w:bCs w:val="0"/>
          <w:sz w:val="32"/>
          <w:szCs w:val="32"/>
          <w:u w:val="single"/>
          <w:lang w:val="en-US" w:eastAsia="zh-CN"/>
        </w:rPr>
      </w:pPr>
      <w:r>
        <w:rPr>
          <w:rFonts w:hint="eastAsia"/>
          <w:b w:val="0"/>
          <w:bCs w:val="0"/>
          <w:sz w:val="32"/>
          <w:szCs w:val="32"/>
        </w:rPr>
        <w:t>项目名称：</w:t>
      </w:r>
      <w:r>
        <w:rPr>
          <w:rFonts w:hint="eastAsia"/>
          <w:b w:val="0"/>
          <w:bCs w:val="0"/>
          <w:sz w:val="32"/>
          <w:szCs w:val="32"/>
          <w:u w:val="single"/>
          <w:lang w:val="en-US" w:eastAsia="zh-CN"/>
        </w:rPr>
        <w:t xml:space="preserve">    世纪南书房装修改造工程    </w:t>
      </w:r>
    </w:p>
    <w:p>
      <w:pPr>
        <w:ind w:firstLine="1280" w:firstLineChars="400"/>
        <w:jc w:val="both"/>
        <w:rPr>
          <w:rFonts w:hint="default" w:eastAsia="方正小标宋简体"/>
          <w:b w:val="0"/>
          <w:bCs w:val="0"/>
          <w:sz w:val="32"/>
          <w:szCs w:val="32"/>
          <w:u w:val="single"/>
          <w:lang w:val="en-US" w:eastAsia="zh-CN"/>
        </w:rPr>
      </w:pPr>
      <w:r>
        <w:rPr>
          <w:rFonts w:hint="eastAsia"/>
          <w:b w:val="0"/>
          <w:bCs w:val="0"/>
          <w:sz w:val="32"/>
          <w:szCs w:val="32"/>
        </w:rPr>
        <w:t>项目编号：</w:t>
      </w:r>
      <w:r>
        <w:rPr>
          <w:rFonts w:hint="eastAsia"/>
          <w:b w:val="0"/>
          <w:bCs w:val="0"/>
          <w:sz w:val="32"/>
          <w:szCs w:val="32"/>
          <w:u w:val="single"/>
          <w:lang w:val="en-US" w:eastAsia="zh-CN"/>
        </w:rPr>
        <w:t xml:space="preserve">                          </w:t>
      </w:r>
    </w:p>
    <w:p>
      <w:pPr>
        <w:ind w:firstLine="1280" w:firstLineChars="400"/>
        <w:jc w:val="both"/>
        <w:rPr>
          <w:rFonts w:hint="eastAsia"/>
          <w:b w:val="0"/>
          <w:bCs w:val="0"/>
          <w:sz w:val="32"/>
          <w:szCs w:val="32"/>
          <w:u w:val="single"/>
          <w:lang w:val="en-US" w:eastAsia="zh-CN"/>
        </w:rPr>
      </w:pPr>
      <w:r>
        <w:rPr>
          <w:rFonts w:hint="eastAsia"/>
          <w:b w:val="0"/>
          <w:bCs w:val="0"/>
          <w:sz w:val="32"/>
          <w:szCs w:val="32"/>
        </w:rPr>
        <w:t>采 购 人：</w:t>
      </w:r>
      <w:r>
        <w:rPr>
          <w:rFonts w:hint="eastAsia"/>
          <w:b w:val="0"/>
          <w:bCs w:val="0"/>
          <w:sz w:val="32"/>
          <w:szCs w:val="32"/>
          <w:u w:val="single"/>
          <w:lang w:val="en-US" w:eastAsia="zh-CN"/>
        </w:rPr>
        <w:t xml:space="preserve"> 合肥包河文广产业投资有限公司 </w:t>
      </w:r>
    </w:p>
    <w:p>
      <w:pPr>
        <w:jc w:val="center"/>
        <w:rPr>
          <w:rFonts w:hint="eastAsia"/>
          <w:sz w:val="32"/>
          <w:szCs w:val="32"/>
          <w:u w:val="single"/>
          <w:lang w:val="en-US" w:eastAsia="zh-CN"/>
        </w:rPr>
      </w:pPr>
    </w:p>
    <w:p>
      <w:pPr>
        <w:jc w:val="center"/>
        <w:rPr>
          <w:rFonts w:hint="eastAsia"/>
          <w:sz w:val="32"/>
          <w:szCs w:val="32"/>
          <w:u w:val="single"/>
          <w:lang w:val="en-US" w:eastAsia="zh-CN"/>
        </w:rPr>
      </w:pPr>
    </w:p>
    <w:p>
      <w:pPr>
        <w:jc w:val="center"/>
        <w:rPr>
          <w:rFonts w:hint="eastAsia"/>
          <w:sz w:val="32"/>
          <w:szCs w:val="32"/>
          <w:u w:val="single"/>
          <w:lang w:val="en-US" w:eastAsia="zh-CN"/>
        </w:rPr>
      </w:pPr>
    </w:p>
    <w:p>
      <w:pPr>
        <w:jc w:val="center"/>
        <w:rPr>
          <w:rFonts w:hint="eastAsia"/>
          <w:sz w:val="32"/>
          <w:szCs w:val="32"/>
          <w:u w:val="single"/>
          <w:lang w:val="en-US" w:eastAsia="zh-CN"/>
        </w:rPr>
      </w:pPr>
    </w:p>
    <w:p>
      <w:pPr>
        <w:jc w:val="center"/>
        <w:rPr>
          <w:rFonts w:hint="eastAsia"/>
          <w:sz w:val="32"/>
          <w:szCs w:val="32"/>
          <w:u w:val="single"/>
          <w:lang w:val="en-US" w:eastAsia="zh-CN"/>
        </w:rPr>
      </w:pPr>
    </w:p>
    <w:p>
      <w:pPr>
        <w:jc w:val="center"/>
        <w:rPr>
          <w:rFonts w:hint="eastAsia" w:ascii="宋体" w:hAnsi="宋体" w:eastAsia="宋体" w:cs="宋体"/>
          <w:b/>
          <w:bCs/>
          <w:sz w:val="32"/>
          <w:szCs w:val="32"/>
          <w:highlight w:val="none"/>
          <w:u w:val="single"/>
          <w:lang w:val="en-US" w:eastAsia="zh-CN"/>
        </w:rPr>
      </w:pPr>
      <w:r>
        <w:rPr>
          <w:rFonts w:hint="default" w:ascii="Times New Roman" w:hAnsi="Times New Roman" w:eastAsia="宋体" w:cs="Times New Roman"/>
          <w:b/>
          <w:bCs/>
          <w:sz w:val="32"/>
          <w:szCs w:val="32"/>
          <w:highlight w:val="none"/>
          <w:u w:val="single"/>
          <w:lang w:val="en-US" w:eastAsia="zh-CN"/>
        </w:rPr>
        <w:t>202</w:t>
      </w:r>
      <w:r>
        <w:rPr>
          <w:rFonts w:hint="eastAsia" w:ascii="Times New Roman" w:hAnsi="Times New Roman" w:eastAsia="宋体" w:cs="Times New Roman"/>
          <w:b/>
          <w:bCs/>
          <w:sz w:val="32"/>
          <w:szCs w:val="32"/>
          <w:highlight w:val="none"/>
          <w:u w:val="single"/>
          <w:lang w:val="en-US" w:eastAsia="zh-CN"/>
        </w:rPr>
        <w:t>4</w:t>
      </w:r>
      <w:r>
        <w:rPr>
          <w:rFonts w:hint="eastAsia" w:ascii="宋体" w:hAnsi="宋体" w:eastAsia="宋体" w:cs="宋体"/>
          <w:b/>
          <w:bCs/>
          <w:sz w:val="32"/>
          <w:szCs w:val="32"/>
          <w:highlight w:val="none"/>
          <w:u w:val="single"/>
          <w:lang w:val="en-US" w:eastAsia="zh-CN"/>
        </w:rPr>
        <w:t>年04月</w:t>
      </w:r>
    </w:p>
    <w:p>
      <w:pPr>
        <w:jc w:val="center"/>
        <w:rPr>
          <w:rFonts w:hint="eastAsia" w:ascii="宋体" w:hAnsi="宋体" w:eastAsia="宋体" w:cs="宋体"/>
          <w:b/>
          <w:bCs/>
          <w:sz w:val="32"/>
          <w:szCs w:val="32"/>
          <w:u w:val="single"/>
          <w:lang w:val="en-US" w:eastAsia="zh-CN"/>
        </w:rPr>
      </w:pPr>
    </w:p>
    <w:p>
      <w:pPr>
        <w:jc w:val="center"/>
        <w:rPr>
          <w:rFonts w:hint="eastAsia" w:ascii="宋体" w:hAnsi="宋体" w:eastAsia="宋体" w:cs="宋体"/>
          <w:b/>
          <w:bCs/>
          <w:sz w:val="32"/>
          <w:szCs w:val="32"/>
          <w:u w:val="single"/>
          <w:lang w:val="en-US" w:eastAsia="zh-CN"/>
        </w:rPr>
      </w:pPr>
    </w:p>
    <w:p>
      <w:pPr>
        <w:jc w:val="center"/>
        <w:rPr>
          <w:rFonts w:hint="eastAsia" w:ascii="宋体" w:hAnsi="宋体" w:eastAsia="宋体" w:cs="宋体"/>
          <w:b/>
          <w:bCs/>
          <w:sz w:val="28"/>
          <w:szCs w:val="28"/>
          <w:u w:val="none"/>
          <w:lang w:val="en-US" w:eastAsia="zh-CN"/>
        </w:rPr>
      </w:pPr>
    </w:p>
    <w:p>
      <w:pPr>
        <w:jc w:val="center"/>
        <w:rPr>
          <w:rFonts w:hint="eastAsia" w:ascii="宋体" w:hAnsi="宋体" w:eastAsia="宋体" w:cs="宋体"/>
          <w:b/>
          <w:bCs/>
          <w:sz w:val="28"/>
          <w:szCs w:val="28"/>
          <w:u w:val="none"/>
          <w:lang w:val="en-US" w:eastAsia="zh-CN"/>
        </w:rPr>
      </w:pPr>
    </w:p>
    <w:p>
      <w:pPr>
        <w:jc w:val="center"/>
        <w:rPr>
          <w:rFonts w:hint="eastAsia" w:ascii="宋体" w:hAnsi="宋体" w:eastAsia="宋体" w:cs="宋体"/>
          <w:b/>
          <w:bCs/>
          <w:sz w:val="28"/>
          <w:szCs w:val="28"/>
          <w:u w:val="none"/>
          <w:lang w:val="en-US" w:eastAsia="zh-CN"/>
        </w:rPr>
      </w:pPr>
    </w:p>
    <w:p>
      <w:pPr>
        <w:jc w:val="center"/>
        <w:rPr>
          <w:rFonts w:hint="eastAsia" w:ascii="宋体" w:hAnsi="宋体" w:eastAsia="宋体" w:cs="宋体"/>
          <w:b/>
          <w:bCs/>
          <w:sz w:val="28"/>
          <w:szCs w:val="28"/>
          <w:u w:val="none"/>
          <w:lang w:val="en-US" w:eastAsia="zh-CN"/>
        </w:rPr>
      </w:pPr>
    </w:p>
    <w:p>
      <w:pPr>
        <w:jc w:val="center"/>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目  录</w:t>
      </w:r>
    </w:p>
    <w:p>
      <w:pPr>
        <w:numPr>
          <w:ilvl w:val="0"/>
          <w:numId w:val="1"/>
        </w:numPr>
        <w:jc w:val="both"/>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投标邀请（招标公告）.....................................3</w:t>
      </w:r>
    </w:p>
    <w:p>
      <w:pPr>
        <w:numPr>
          <w:ilvl w:val="0"/>
          <w:numId w:val="1"/>
        </w:numPr>
        <w:jc w:val="both"/>
        <w:rPr>
          <w:rFonts w:hint="default"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投标人须知...............................................6</w:t>
      </w:r>
    </w:p>
    <w:p>
      <w:pPr>
        <w:numPr>
          <w:ilvl w:val="0"/>
          <w:numId w:val="1"/>
        </w:numPr>
        <w:jc w:val="both"/>
        <w:rPr>
          <w:rFonts w:hint="default"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评标方法................................................28</w:t>
      </w:r>
    </w:p>
    <w:p>
      <w:pPr>
        <w:numPr>
          <w:ilvl w:val="0"/>
          <w:numId w:val="1"/>
        </w:numPr>
        <w:jc w:val="both"/>
        <w:rPr>
          <w:rFonts w:hint="default"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合同条款................................................33</w:t>
      </w:r>
    </w:p>
    <w:p>
      <w:pPr>
        <w:numPr>
          <w:ilvl w:val="0"/>
          <w:numId w:val="1"/>
        </w:numPr>
        <w:jc w:val="both"/>
        <w:rPr>
          <w:rFonts w:hint="default"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工程量清单..............................................41</w:t>
      </w:r>
    </w:p>
    <w:p>
      <w:pPr>
        <w:numPr>
          <w:ilvl w:val="0"/>
          <w:numId w:val="1"/>
        </w:numPr>
        <w:jc w:val="both"/>
        <w:rPr>
          <w:rFonts w:hint="default"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图纸....................................................48</w:t>
      </w:r>
    </w:p>
    <w:p>
      <w:pPr>
        <w:numPr>
          <w:ilvl w:val="0"/>
          <w:numId w:val="1"/>
        </w:numPr>
        <w:jc w:val="both"/>
        <w:rPr>
          <w:rFonts w:hint="default"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技术标准和要求..........................................49</w:t>
      </w:r>
    </w:p>
    <w:p>
      <w:pPr>
        <w:numPr>
          <w:ilvl w:val="0"/>
          <w:numId w:val="1"/>
        </w:numPr>
        <w:jc w:val="both"/>
        <w:rPr>
          <w:rFonts w:hint="default"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投标文件格式............................................50</w:t>
      </w:r>
    </w:p>
    <w:p>
      <w:pPr>
        <w:widowControl w:val="0"/>
        <w:numPr>
          <w:ilvl w:val="0"/>
          <w:numId w:val="0"/>
        </w:numPr>
        <w:jc w:val="both"/>
        <w:rPr>
          <w:rFonts w:hint="default" w:ascii="宋体" w:hAnsi="宋体" w:eastAsia="宋体" w:cs="宋体"/>
          <w:b/>
          <w:bCs/>
          <w:sz w:val="28"/>
          <w:szCs w:val="28"/>
          <w:u w:val="none"/>
          <w:lang w:val="en-US" w:eastAsia="zh-CN"/>
        </w:rPr>
      </w:pPr>
    </w:p>
    <w:p>
      <w:pPr>
        <w:widowControl w:val="0"/>
        <w:numPr>
          <w:ilvl w:val="0"/>
          <w:numId w:val="0"/>
        </w:numPr>
        <w:jc w:val="both"/>
        <w:rPr>
          <w:rFonts w:hint="eastAsia" w:ascii="宋体" w:hAnsi="宋体" w:eastAsia="宋体" w:cs="宋体"/>
          <w:b/>
          <w:bCs/>
          <w:sz w:val="28"/>
          <w:szCs w:val="28"/>
          <w:u w:val="none"/>
          <w:lang w:val="en-US" w:eastAsia="zh-CN"/>
        </w:rPr>
      </w:pPr>
    </w:p>
    <w:p>
      <w:pPr>
        <w:widowControl w:val="0"/>
        <w:numPr>
          <w:ilvl w:val="0"/>
          <w:numId w:val="0"/>
        </w:numPr>
        <w:jc w:val="both"/>
        <w:rPr>
          <w:rFonts w:hint="eastAsia" w:ascii="宋体" w:hAnsi="宋体" w:eastAsia="宋体" w:cs="宋体"/>
          <w:b/>
          <w:bCs/>
          <w:sz w:val="28"/>
          <w:szCs w:val="28"/>
          <w:u w:val="none"/>
          <w:lang w:val="en-US" w:eastAsia="zh-CN"/>
        </w:rPr>
      </w:pPr>
    </w:p>
    <w:p>
      <w:pPr>
        <w:widowControl w:val="0"/>
        <w:numPr>
          <w:ilvl w:val="0"/>
          <w:numId w:val="0"/>
        </w:numPr>
        <w:jc w:val="both"/>
        <w:rPr>
          <w:rFonts w:hint="eastAsia" w:ascii="宋体" w:hAnsi="宋体" w:eastAsia="宋体" w:cs="宋体"/>
          <w:b/>
          <w:bCs/>
          <w:sz w:val="28"/>
          <w:szCs w:val="28"/>
          <w:u w:val="none"/>
          <w:lang w:val="en-US" w:eastAsia="zh-CN"/>
        </w:rPr>
      </w:pPr>
    </w:p>
    <w:p>
      <w:pPr>
        <w:widowControl w:val="0"/>
        <w:numPr>
          <w:ilvl w:val="0"/>
          <w:numId w:val="0"/>
        </w:numPr>
        <w:jc w:val="both"/>
        <w:rPr>
          <w:rFonts w:hint="eastAsia" w:ascii="宋体" w:hAnsi="宋体" w:eastAsia="宋体" w:cs="宋体"/>
          <w:b/>
          <w:bCs/>
          <w:sz w:val="28"/>
          <w:szCs w:val="28"/>
          <w:u w:val="none"/>
          <w:lang w:val="en-US" w:eastAsia="zh-CN"/>
        </w:rPr>
      </w:pPr>
    </w:p>
    <w:p>
      <w:pPr>
        <w:widowControl w:val="0"/>
        <w:numPr>
          <w:ilvl w:val="0"/>
          <w:numId w:val="0"/>
        </w:numPr>
        <w:jc w:val="both"/>
        <w:rPr>
          <w:rFonts w:hint="eastAsia" w:ascii="宋体" w:hAnsi="宋体" w:eastAsia="宋体" w:cs="宋体"/>
          <w:b/>
          <w:bCs/>
          <w:sz w:val="28"/>
          <w:szCs w:val="28"/>
          <w:u w:val="none"/>
          <w:lang w:val="en-US" w:eastAsia="zh-CN"/>
        </w:rPr>
      </w:pPr>
    </w:p>
    <w:p>
      <w:pPr>
        <w:widowControl w:val="0"/>
        <w:numPr>
          <w:ilvl w:val="0"/>
          <w:numId w:val="0"/>
        </w:numPr>
        <w:jc w:val="both"/>
        <w:rPr>
          <w:rFonts w:hint="eastAsia" w:ascii="宋体" w:hAnsi="宋体" w:eastAsia="宋体" w:cs="宋体"/>
          <w:b/>
          <w:bCs/>
          <w:sz w:val="28"/>
          <w:szCs w:val="28"/>
          <w:u w:val="none"/>
          <w:lang w:val="en-US" w:eastAsia="zh-CN"/>
        </w:rPr>
      </w:pPr>
    </w:p>
    <w:p>
      <w:pPr>
        <w:widowControl w:val="0"/>
        <w:numPr>
          <w:ilvl w:val="0"/>
          <w:numId w:val="0"/>
        </w:numPr>
        <w:jc w:val="both"/>
        <w:rPr>
          <w:rFonts w:hint="eastAsia" w:ascii="宋体" w:hAnsi="宋体" w:eastAsia="宋体" w:cs="宋体"/>
          <w:b/>
          <w:bCs/>
          <w:sz w:val="28"/>
          <w:szCs w:val="28"/>
          <w:u w:val="none"/>
          <w:lang w:val="en-US" w:eastAsia="zh-CN"/>
        </w:rPr>
      </w:pPr>
    </w:p>
    <w:p>
      <w:pPr>
        <w:widowControl w:val="0"/>
        <w:numPr>
          <w:ilvl w:val="0"/>
          <w:numId w:val="0"/>
        </w:numPr>
        <w:jc w:val="both"/>
        <w:rPr>
          <w:rFonts w:hint="eastAsia" w:ascii="宋体" w:hAnsi="宋体" w:eastAsia="宋体" w:cs="宋体"/>
          <w:b/>
          <w:bCs/>
          <w:sz w:val="28"/>
          <w:szCs w:val="28"/>
          <w:u w:val="none"/>
          <w:lang w:val="en-US" w:eastAsia="zh-CN"/>
        </w:rPr>
      </w:pPr>
    </w:p>
    <w:p>
      <w:pPr>
        <w:widowControl w:val="0"/>
        <w:numPr>
          <w:ilvl w:val="0"/>
          <w:numId w:val="0"/>
        </w:numPr>
        <w:jc w:val="both"/>
        <w:rPr>
          <w:rFonts w:hint="eastAsia" w:ascii="宋体" w:hAnsi="宋体" w:eastAsia="宋体" w:cs="宋体"/>
          <w:b/>
          <w:bCs/>
          <w:sz w:val="28"/>
          <w:szCs w:val="28"/>
          <w:u w:val="none"/>
          <w:lang w:val="en-US" w:eastAsia="zh-CN"/>
        </w:rPr>
      </w:pPr>
    </w:p>
    <w:p>
      <w:pPr>
        <w:spacing w:line="360" w:lineRule="auto"/>
        <w:jc w:val="center"/>
        <w:outlineLvl w:val="1"/>
        <w:rPr>
          <w:rFonts w:hint="default" w:ascii="Times New Roman" w:hAnsi="Times New Roman" w:eastAsia="宋体" w:cs="Times New Roman"/>
          <w:b/>
          <w:color w:val="auto"/>
          <w:sz w:val="28"/>
          <w:highlight w:val="none"/>
        </w:rPr>
      </w:pPr>
      <w:bookmarkStart w:id="0" w:name="_Toc74896742"/>
    </w:p>
    <w:p>
      <w:pPr>
        <w:spacing w:line="360" w:lineRule="auto"/>
        <w:jc w:val="center"/>
        <w:outlineLvl w:val="1"/>
        <w:rPr>
          <w:rFonts w:hint="default" w:ascii="Times New Roman" w:hAnsi="Times New Roman" w:eastAsia="宋体" w:cs="Times New Roman"/>
          <w:b/>
          <w:color w:val="auto"/>
          <w:sz w:val="28"/>
          <w:highlight w:val="none"/>
        </w:rPr>
      </w:pPr>
    </w:p>
    <w:p>
      <w:pPr>
        <w:spacing w:line="360" w:lineRule="auto"/>
        <w:jc w:val="center"/>
        <w:outlineLvl w:val="1"/>
        <w:rPr>
          <w:rFonts w:hint="default" w:ascii="Times New Roman" w:hAnsi="Times New Roman" w:eastAsia="宋体" w:cs="Times New Roman"/>
          <w:b/>
          <w:color w:val="auto"/>
          <w:sz w:val="28"/>
          <w:highlight w:val="none"/>
        </w:rPr>
      </w:pPr>
    </w:p>
    <w:p>
      <w:pPr>
        <w:spacing w:line="360" w:lineRule="auto"/>
        <w:jc w:val="center"/>
        <w:outlineLvl w:val="1"/>
        <w:rPr>
          <w:rFonts w:hint="default" w:ascii="Times New Roman" w:hAnsi="Times New Roman" w:eastAsia="宋体" w:cs="Times New Roman"/>
          <w:b/>
          <w:color w:val="auto"/>
          <w:sz w:val="28"/>
          <w:highlight w:val="none"/>
        </w:rPr>
      </w:pPr>
    </w:p>
    <w:p>
      <w:pPr>
        <w:spacing w:line="360" w:lineRule="auto"/>
        <w:jc w:val="center"/>
        <w:outlineLvl w:val="1"/>
        <w:rPr>
          <w:rFonts w:hint="default" w:ascii="Times New Roman" w:hAnsi="Times New Roman" w:eastAsia="宋体" w:cs="Times New Roman"/>
          <w:b/>
          <w:color w:val="auto"/>
          <w:sz w:val="28"/>
          <w:highlight w:val="none"/>
        </w:rPr>
      </w:pPr>
    </w:p>
    <w:p>
      <w:pPr>
        <w:spacing w:line="360" w:lineRule="auto"/>
        <w:jc w:val="center"/>
        <w:outlineLvl w:val="1"/>
        <w:rPr>
          <w:rFonts w:hint="default" w:ascii="Times New Roman" w:hAnsi="Times New Roman" w:eastAsia="宋体" w:cs="Times New Roman"/>
          <w:b/>
          <w:color w:val="auto"/>
          <w:sz w:val="28"/>
          <w:highlight w:val="none"/>
        </w:rPr>
      </w:pPr>
    </w:p>
    <w:p>
      <w:pPr>
        <w:spacing w:line="360" w:lineRule="auto"/>
        <w:jc w:val="center"/>
        <w:outlineLvl w:val="1"/>
        <w:rPr>
          <w:rFonts w:hint="default" w:ascii="Times New Roman" w:hAnsi="Times New Roman" w:eastAsia="宋体" w:cs="Times New Roman"/>
          <w:b/>
          <w:color w:val="auto"/>
          <w:sz w:val="28"/>
          <w:highlight w:val="none"/>
        </w:rPr>
      </w:pPr>
    </w:p>
    <w:p>
      <w:pPr>
        <w:spacing w:line="360" w:lineRule="auto"/>
        <w:jc w:val="center"/>
        <w:outlineLvl w:val="1"/>
        <w:rPr>
          <w:rFonts w:hint="default" w:ascii="Times New Roman" w:hAnsi="Times New Roman" w:eastAsia="宋体" w:cs="Times New Roman"/>
          <w:b/>
          <w:color w:val="auto"/>
          <w:sz w:val="28"/>
          <w:highlight w:val="none"/>
        </w:rPr>
      </w:pPr>
    </w:p>
    <w:p>
      <w:pPr>
        <w:spacing w:line="360" w:lineRule="auto"/>
        <w:jc w:val="center"/>
        <w:outlineLvl w:val="1"/>
        <w:rPr>
          <w:rFonts w:hint="default" w:ascii="Times New Roman" w:hAnsi="Times New Roman" w:eastAsia="宋体" w:cs="Times New Roman"/>
          <w:b/>
          <w:color w:val="auto"/>
          <w:sz w:val="28"/>
          <w:highlight w:val="none"/>
        </w:rPr>
      </w:pPr>
    </w:p>
    <w:p>
      <w:pPr>
        <w:spacing w:line="360" w:lineRule="auto"/>
        <w:jc w:val="center"/>
        <w:outlineLvl w:val="1"/>
        <w:rPr>
          <w:rFonts w:hint="default" w:ascii="Times New Roman" w:hAnsi="Times New Roman" w:eastAsia="宋体" w:cs="Times New Roman"/>
          <w:b/>
          <w:color w:val="auto"/>
          <w:sz w:val="28"/>
          <w:highlight w:val="none"/>
        </w:rPr>
      </w:pPr>
    </w:p>
    <w:p>
      <w:pPr>
        <w:spacing w:line="360" w:lineRule="auto"/>
        <w:jc w:val="center"/>
        <w:outlineLvl w:val="1"/>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8"/>
          <w:highlight w:val="none"/>
        </w:rPr>
        <w:t>第一章  投标邀请（招标公告）</w:t>
      </w:r>
      <w:bookmarkEnd w:id="0"/>
    </w:p>
    <w:p>
      <w:pPr>
        <w:pBdr>
          <w:top w:val="single" w:color="auto" w:sz="4" w:space="1"/>
          <w:left w:val="single" w:color="auto" w:sz="4" w:space="4"/>
          <w:bottom w:val="single" w:color="auto" w:sz="4" w:space="1"/>
          <w:right w:val="single" w:color="auto" w:sz="4" w:space="4"/>
        </w:pBdr>
        <w:snapToGrid w:val="0"/>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项目概况</w:t>
      </w:r>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eastAsia" w:ascii="宋体" w:hAnsi="宋体" w:eastAsia="宋体" w:cs="宋体"/>
          <w:b w:val="0"/>
          <w:bCs w:val="0"/>
          <w:sz w:val="24"/>
          <w:szCs w:val="24"/>
          <w:u w:val="single"/>
          <w:lang w:val="en-US" w:eastAsia="zh-CN"/>
        </w:rPr>
        <w:t>世纪南书房装修改造工程</w:t>
      </w:r>
      <w:r>
        <w:rPr>
          <w:rFonts w:hint="eastAsia" w:ascii="宋体" w:hAnsi="宋体" w:eastAsia="宋体" w:cs="宋体"/>
          <w:color w:val="auto"/>
          <w:sz w:val="24"/>
          <w:szCs w:val="24"/>
          <w:highlight w:val="none"/>
        </w:rPr>
        <w:t>的潜</w:t>
      </w:r>
      <w:r>
        <w:rPr>
          <w:rFonts w:hint="default" w:ascii="Times New Roman" w:hAnsi="Times New Roman" w:eastAsia="宋体" w:cs="Times New Roman"/>
          <w:color w:val="auto"/>
          <w:sz w:val="24"/>
          <w:szCs w:val="24"/>
          <w:highlight w:val="none"/>
        </w:rPr>
        <w:t>在投标人应在</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u w:val="single"/>
          <w:lang w:val="en-US" w:eastAsia="zh-CN"/>
        </w:rPr>
        <w:t xml:space="preserve">合肥包河文广产业投资有限公司网站 </w:t>
      </w:r>
      <w:r>
        <w:rPr>
          <w:rFonts w:hint="default" w:ascii="Times New Roman" w:hAnsi="Times New Roman" w:eastAsia="宋体" w:cs="Times New Roman"/>
          <w:color w:val="auto"/>
          <w:sz w:val="24"/>
          <w:szCs w:val="24"/>
          <w:highlight w:val="none"/>
        </w:rPr>
        <w:t>获取招标文件，并于</w:t>
      </w:r>
      <w:r>
        <w:rPr>
          <w:rFonts w:hint="default" w:ascii="Times New Roman" w:hAnsi="Times New Roman" w:eastAsia="宋体" w:cs="Times New Roman"/>
          <w:bCs/>
          <w:color w:val="auto"/>
          <w:sz w:val="24"/>
          <w:szCs w:val="24"/>
          <w:highlight w:val="none"/>
          <w:u w:val="single"/>
        </w:rPr>
        <w:t>202</w:t>
      </w:r>
      <w:r>
        <w:rPr>
          <w:rFonts w:hint="eastAsia" w:ascii="Times New Roman" w:hAnsi="Times New Roman" w:eastAsia="宋体" w:cs="Times New Roman"/>
          <w:bCs/>
          <w:color w:val="auto"/>
          <w:sz w:val="24"/>
          <w:szCs w:val="24"/>
          <w:highlight w:val="none"/>
          <w:u w:val="single"/>
          <w:lang w:val="en-US" w:eastAsia="zh-CN"/>
        </w:rPr>
        <w:t>4</w:t>
      </w:r>
      <w:r>
        <w:rPr>
          <w:rFonts w:hint="default" w:ascii="Times New Roman" w:hAnsi="Times New Roman" w:eastAsia="宋体" w:cs="Times New Roman"/>
          <w:bCs/>
          <w:color w:val="auto"/>
          <w:sz w:val="24"/>
          <w:szCs w:val="24"/>
          <w:highlight w:val="none"/>
          <w:u w:val="single"/>
        </w:rPr>
        <w:t>年</w:t>
      </w:r>
      <w:r>
        <w:rPr>
          <w:rFonts w:hint="eastAsia" w:ascii="Times New Roman" w:hAnsi="Times New Roman" w:eastAsia="宋体" w:cs="Times New Roman"/>
          <w:bCs/>
          <w:color w:val="auto"/>
          <w:sz w:val="24"/>
          <w:szCs w:val="24"/>
          <w:highlight w:val="none"/>
          <w:u w:val="single"/>
          <w:lang w:val="en-US" w:eastAsia="zh-CN"/>
        </w:rPr>
        <w:t>04</w:t>
      </w:r>
      <w:r>
        <w:rPr>
          <w:rFonts w:hint="default" w:ascii="Times New Roman" w:hAnsi="Times New Roman" w:eastAsia="宋体" w:cs="Times New Roman"/>
          <w:bCs/>
          <w:color w:val="auto"/>
          <w:sz w:val="24"/>
          <w:szCs w:val="24"/>
          <w:highlight w:val="none"/>
          <w:u w:val="single"/>
        </w:rPr>
        <w:t>月</w:t>
      </w:r>
      <w:r>
        <w:rPr>
          <w:rFonts w:hint="eastAsia" w:ascii="Times New Roman" w:hAnsi="Times New Roman" w:eastAsia="宋体" w:cs="Times New Roman"/>
          <w:bCs/>
          <w:color w:val="auto"/>
          <w:sz w:val="24"/>
          <w:szCs w:val="24"/>
          <w:highlight w:val="none"/>
          <w:u w:val="single"/>
          <w:lang w:val="en-US" w:eastAsia="zh-CN"/>
        </w:rPr>
        <w:t>30</w:t>
      </w:r>
      <w:r>
        <w:rPr>
          <w:rFonts w:hint="default" w:ascii="Times New Roman" w:hAnsi="Times New Roman" w:eastAsia="宋体" w:cs="Times New Roman"/>
          <w:bCs/>
          <w:color w:val="auto"/>
          <w:sz w:val="24"/>
          <w:szCs w:val="24"/>
          <w:highlight w:val="none"/>
          <w:u w:val="single"/>
        </w:rPr>
        <w:t>日</w:t>
      </w:r>
      <w:r>
        <w:rPr>
          <w:rFonts w:hint="eastAsia" w:ascii="Times New Roman" w:hAnsi="Times New Roman" w:eastAsia="宋体" w:cs="Times New Roman"/>
          <w:bCs/>
          <w:color w:val="auto"/>
          <w:sz w:val="24"/>
          <w:szCs w:val="24"/>
          <w:highlight w:val="none"/>
          <w:u w:val="single"/>
          <w:lang w:val="en-US" w:eastAsia="zh-CN"/>
        </w:rPr>
        <w:t>14</w:t>
      </w:r>
      <w:r>
        <w:rPr>
          <w:rFonts w:hint="default" w:ascii="Times New Roman" w:hAnsi="Times New Roman" w:eastAsia="宋体" w:cs="Times New Roman"/>
          <w:bCs/>
          <w:color w:val="auto"/>
          <w:sz w:val="24"/>
          <w:szCs w:val="24"/>
          <w:highlight w:val="none"/>
          <w:u w:val="single"/>
        </w:rPr>
        <w:t>点</w:t>
      </w:r>
      <w:r>
        <w:rPr>
          <w:rFonts w:hint="eastAsia" w:ascii="Times New Roman" w:hAnsi="Times New Roman" w:eastAsia="宋体" w:cs="Times New Roman"/>
          <w:bCs/>
          <w:color w:val="auto"/>
          <w:sz w:val="24"/>
          <w:szCs w:val="24"/>
          <w:highlight w:val="none"/>
          <w:u w:val="single"/>
          <w:lang w:val="en-US" w:eastAsia="zh-CN"/>
        </w:rPr>
        <w:t>3</w:t>
      </w:r>
      <w:r>
        <w:rPr>
          <w:rFonts w:hint="default" w:ascii="Times New Roman" w:hAnsi="Times New Roman" w:eastAsia="宋体" w:cs="Times New Roman"/>
          <w:bCs/>
          <w:color w:val="auto"/>
          <w:sz w:val="24"/>
          <w:szCs w:val="24"/>
          <w:highlight w:val="none"/>
          <w:u w:val="single"/>
        </w:rPr>
        <w:t>0分（</w:t>
      </w:r>
      <w:r>
        <w:rPr>
          <w:rFonts w:hint="default" w:ascii="Times New Roman" w:hAnsi="Times New Roman" w:eastAsia="宋体" w:cs="Times New Roman"/>
          <w:bCs/>
          <w:color w:val="auto"/>
          <w:sz w:val="24"/>
          <w:szCs w:val="24"/>
          <w:highlight w:val="none"/>
        </w:rPr>
        <w:t>北京时间）前递交投标文件</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580" w:lineRule="exact"/>
        <w:ind w:firstLine="480" w:firstLineChars="200"/>
        <w:textAlignment w:val="auto"/>
        <w:rPr>
          <w:rFonts w:hint="default" w:ascii="Times New Roman" w:hAnsi="Times New Roman" w:eastAsia="宋体" w:cs="Times New Roman"/>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rPr>
      </w:pPr>
      <w:bookmarkStart w:id="1" w:name="_Toc35393790"/>
      <w:bookmarkStart w:id="2" w:name="_Toc28359002"/>
      <w:bookmarkStart w:id="3" w:name="_Toc35393621"/>
      <w:bookmarkStart w:id="4" w:name="_Toc28359079"/>
      <w:bookmarkStart w:id="5" w:name="_Hlk24379207"/>
      <w:r>
        <w:rPr>
          <w:rFonts w:hint="default" w:ascii="Times New Roman" w:hAnsi="Times New Roman" w:eastAsia="宋体" w:cs="Times New Roman"/>
          <w:b/>
          <w:bCs/>
          <w:color w:val="auto"/>
          <w:sz w:val="24"/>
          <w:szCs w:val="24"/>
          <w:highlight w:val="none"/>
        </w:rPr>
        <w:t>一、项目基本情况</w:t>
      </w:r>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u w:val="single"/>
          <w:lang w:val="en-US" w:eastAsia="zh-CN"/>
        </w:rPr>
      </w:pP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项目名称：</w:t>
      </w:r>
      <w:bookmarkEnd w:id="5"/>
      <w:r>
        <w:rPr>
          <w:rFonts w:hint="eastAsia" w:ascii="宋体" w:hAnsi="宋体" w:eastAsia="宋体" w:cs="宋体"/>
          <w:b w:val="0"/>
          <w:bCs w:val="0"/>
          <w:sz w:val="24"/>
          <w:szCs w:val="24"/>
          <w:u w:val="single"/>
          <w:lang w:val="en-US" w:eastAsia="zh-CN"/>
        </w:rPr>
        <w:t>世纪南书房装修改造工程</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2、项目概况：</w:t>
      </w:r>
      <w:r>
        <w:rPr>
          <w:rFonts w:hint="eastAsia" w:ascii="Times New Roman" w:hAnsi="Times New Roman" w:eastAsia="宋体" w:cs="Times New Roman"/>
          <w:color w:val="auto"/>
          <w:sz w:val="24"/>
          <w:szCs w:val="24"/>
          <w:highlight w:val="none"/>
          <w:lang w:val="en-US" w:eastAsia="zh-CN"/>
        </w:rPr>
        <w:t>世纪南书房位于包河区万泉河路与天山路路交口西南角，</w:t>
      </w:r>
      <w:r>
        <w:rPr>
          <w:rFonts w:hint="default" w:ascii="Times New Roman" w:hAnsi="Times New Roman" w:eastAsia="宋体" w:cs="Times New Roman"/>
          <w:color w:val="auto"/>
          <w:sz w:val="24"/>
          <w:szCs w:val="24"/>
          <w:highlight w:val="none"/>
          <w:lang w:val="en-US" w:eastAsia="zh-CN"/>
        </w:rPr>
        <w:t>为满足项目</w:t>
      </w:r>
      <w:r>
        <w:rPr>
          <w:rFonts w:hint="eastAsia" w:ascii="Times New Roman" w:hAnsi="Times New Roman" w:eastAsia="宋体" w:cs="Times New Roman"/>
          <w:color w:val="auto"/>
          <w:sz w:val="24"/>
          <w:szCs w:val="24"/>
          <w:highlight w:val="none"/>
          <w:lang w:val="en-US" w:eastAsia="zh-CN"/>
        </w:rPr>
        <w:t>客户接待与日常运营，拟在二层设置童享没血糖美育成长中心，对其进行装修施工，功能区涵盖接待前台、教室、共享办公区、会议室、阅读区、水吧区、娱乐休闲区、舞蹈室、室外休闲区等。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FF0000"/>
          <w:sz w:val="24"/>
          <w:szCs w:val="24"/>
          <w:highlight w:val="none"/>
        </w:rPr>
      </w:pP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最高限价：</w:t>
      </w:r>
      <w:r>
        <w:rPr>
          <w:rFonts w:hint="eastAsia" w:ascii="Times New Roman" w:hAnsi="Times New Roman" w:eastAsia="宋体" w:cs="Times New Roman"/>
          <w:color w:val="auto"/>
          <w:sz w:val="24"/>
          <w:szCs w:val="24"/>
          <w:highlight w:val="none"/>
          <w:u w:val="single"/>
          <w:lang w:val="en-US" w:eastAsia="zh-CN"/>
        </w:rPr>
        <w:t xml:space="preserve"> 60 </w:t>
      </w:r>
      <w:r>
        <w:rPr>
          <w:rFonts w:hint="default" w:ascii="Times New Roman" w:hAnsi="Times New Roman" w:eastAsia="宋体" w:cs="Times New Roman"/>
          <w:color w:val="auto"/>
          <w:sz w:val="24"/>
          <w:szCs w:val="24"/>
          <w:highlight w:val="none"/>
        </w:rPr>
        <w:t>万元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采购需求：详见招标文件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合同履行期限：详见招标文件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本项目不接受联合体投标。</w:t>
      </w:r>
    </w:p>
    <w:p>
      <w:pPr>
        <w:snapToGrid w:val="0"/>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二、</w:t>
      </w:r>
      <w:r>
        <w:rPr>
          <w:rFonts w:hint="default" w:ascii="Times New Roman" w:hAnsi="Times New Roman" w:eastAsia="宋体" w:cs="Times New Roman"/>
          <w:b/>
          <w:bCs/>
          <w:color w:val="auto"/>
          <w:sz w:val="24"/>
          <w:szCs w:val="24"/>
          <w:highlight w:val="none"/>
          <w:lang w:val="en-US" w:eastAsia="zh-CN"/>
        </w:rPr>
        <w:t>投标</w:t>
      </w:r>
      <w:r>
        <w:rPr>
          <w:rFonts w:hint="default" w:ascii="Times New Roman" w:hAnsi="Times New Roman" w:eastAsia="宋体" w:cs="Times New Roman"/>
          <w:b/>
          <w:bCs/>
          <w:color w:val="auto"/>
          <w:sz w:val="24"/>
          <w:szCs w:val="24"/>
          <w:highlight w:val="none"/>
        </w:rPr>
        <w:t>人的资格要求：</w:t>
      </w:r>
    </w:p>
    <w:p>
      <w:pPr>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投标人应</w:t>
      </w:r>
      <w:r>
        <w:rPr>
          <w:rFonts w:hint="eastAsia" w:ascii="Times New Roman" w:hAnsi="Times New Roman" w:eastAsia="宋体" w:cs="Times New Roman"/>
          <w:color w:val="auto"/>
          <w:sz w:val="24"/>
          <w:szCs w:val="24"/>
          <w:highlight w:val="none"/>
          <w:lang w:val="en-US" w:eastAsia="zh-CN"/>
        </w:rPr>
        <w:t>同时</w:t>
      </w:r>
      <w:r>
        <w:rPr>
          <w:rFonts w:hint="default" w:ascii="Times New Roman" w:hAnsi="Times New Roman" w:eastAsia="宋体" w:cs="Times New Roman"/>
          <w:color w:val="auto"/>
          <w:sz w:val="24"/>
          <w:szCs w:val="24"/>
          <w:highlight w:val="none"/>
        </w:rPr>
        <w:t>具备下列</w:t>
      </w:r>
      <w:r>
        <w:rPr>
          <w:rFonts w:hint="eastAsia" w:ascii="Times New Roman" w:hAnsi="Times New Roman" w:eastAsia="宋体" w:cs="Times New Roman"/>
          <w:color w:val="auto"/>
          <w:sz w:val="24"/>
          <w:szCs w:val="24"/>
          <w:highlight w:val="none"/>
          <w:lang w:val="en-US" w:eastAsia="zh-CN"/>
        </w:rPr>
        <w:t>资格</w:t>
      </w:r>
      <w:r>
        <w:rPr>
          <w:rFonts w:hint="default" w:ascii="Times New Roman" w:hAnsi="Times New Roman" w:eastAsia="宋体" w:cs="Times New Roman"/>
          <w:color w:val="auto"/>
          <w:sz w:val="24"/>
          <w:szCs w:val="24"/>
          <w:highlight w:val="none"/>
        </w:rPr>
        <w:t>：</w:t>
      </w:r>
    </w:p>
    <w:p>
      <w:pPr>
        <w:snapToGrid/>
        <w:spacing w:line="360" w:lineRule="auto"/>
        <w:ind w:firstLine="480" w:firstLineChars="200"/>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须是经中华人民共和国工商注册的独立法人</w:t>
      </w:r>
      <w:r>
        <w:rPr>
          <w:rFonts w:hint="eastAsia" w:ascii="Times New Roman" w:hAnsi="Times New Roman" w:eastAsia="宋体" w:cs="Times New Roman"/>
          <w:color w:val="auto"/>
          <w:sz w:val="24"/>
          <w:szCs w:val="24"/>
          <w:highlight w:val="none"/>
          <w:lang w:val="en-US" w:eastAsia="zh-CN"/>
        </w:rPr>
        <w:t>且</w:t>
      </w:r>
      <w:r>
        <w:rPr>
          <w:rFonts w:hint="default" w:ascii="Times New Roman" w:hAnsi="Times New Roman" w:eastAsia="宋体" w:cs="Times New Roman"/>
          <w:color w:val="auto"/>
          <w:sz w:val="24"/>
          <w:szCs w:val="24"/>
          <w:highlight w:val="none"/>
        </w:rPr>
        <w:t>具有有效的营业执照</w:t>
      </w:r>
      <w:r>
        <w:rPr>
          <w:rFonts w:hint="eastAsia" w:ascii="Times New Roman" w:hAnsi="Times New Roman" w:eastAsia="宋体" w:cs="Times New Roman"/>
          <w:color w:val="auto"/>
          <w:sz w:val="24"/>
          <w:szCs w:val="24"/>
          <w:highlight w:val="none"/>
          <w:lang w:eastAsia="zh-CN"/>
        </w:rPr>
        <w:t>；</w:t>
      </w:r>
    </w:p>
    <w:p>
      <w:pPr>
        <w:snapToGrid/>
        <w:spacing w:line="360" w:lineRule="auto"/>
        <w:ind w:firstLine="480" w:firstLineChars="20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eastAsia="zh-CN"/>
        </w:rPr>
        <w:t>）投标人须具备具有建筑工程施工总承包叁级及以上资质，且具有有效的安全生产许可证。</w:t>
      </w:r>
    </w:p>
    <w:p>
      <w:pPr>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投标人业绩要求</w:t>
      </w:r>
      <w:r>
        <w:rPr>
          <w:rFonts w:hint="default"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w:t>
      </w:r>
    </w:p>
    <w:p>
      <w:pPr>
        <w:snapToGrid w:val="0"/>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备注：</w:t>
      </w:r>
    </w:p>
    <w:p>
      <w:pPr>
        <w:snapToGrid w:val="0"/>
        <w:spacing w:line="360" w:lineRule="auto"/>
        <w:ind w:firstLine="480" w:firstLineChars="200"/>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（1）类似项目施工业绩是指住宅、公共建筑（是指办公、商业、旅游、科教文卫、通信、交通运输类房屋建筑工程（不含工业厂房和仓储））等装修改造工程施工</w:t>
      </w:r>
      <w:r>
        <w:rPr>
          <w:rFonts w:hint="default" w:ascii="Times New Roman" w:hAnsi="Times New Roman" w:eastAsia="宋体" w:cs="Times New Roman"/>
          <w:color w:val="auto"/>
          <w:sz w:val="24"/>
          <w:szCs w:val="24"/>
          <w:highlight w:val="none"/>
          <w:lang w:val="en-US" w:eastAsia="zh-CN"/>
        </w:rPr>
        <w:t>业绩</w:t>
      </w:r>
      <w:r>
        <w:rPr>
          <w:rFonts w:hint="eastAsia" w:ascii="Times New Roman" w:hAnsi="Times New Roman" w:eastAsia="宋体" w:cs="Times New Roman"/>
          <w:color w:val="auto"/>
          <w:sz w:val="24"/>
          <w:szCs w:val="24"/>
          <w:highlight w:val="none"/>
          <w:lang w:val="en-US" w:eastAsia="zh-CN"/>
        </w:rPr>
        <w:t>。</w:t>
      </w:r>
    </w:p>
    <w:p>
      <w:pPr>
        <w:widowControl/>
        <w:snapToGrid w:val="0"/>
        <w:spacing w:line="360" w:lineRule="auto"/>
        <w:ind w:firstLine="480" w:firstLineChars="200"/>
        <w:jc w:val="lef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rPr>
        <w:t>（2）</w:t>
      </w:r>
      <w:r>
        <w:rPr>
          <w:rFonts w:hint="eastAsia" w:ascii="Times New Roman" w:hAnsi="Times New Roman" w:eastAsia="宋体" w:cs="Times New Roman"/>
          <w:color w:val="auto"/>
          <w:sz w:val="24"/>
          <w:szCs w:val="24"/>
          <w:highlight w:val="none"/>
          <w:lang w:val="en-US" w:eastAsia="zh-CN"/>
        </w:rPr>
        <w:t>须提供业绩合同的复印件，同时，</w:t>
      </w:r>
      <w:r>
        <w:rPr>
          <w:rFonts w:hint="eastAsia" w:ascii="Times New Roman" w:hAnsi="Times New Roman" w:eastAsia="宋体" w:cs="Times New Roman"/>
          <w:color w:val="auto"/>
          <w:sz w:val="24"/>
          <w:szCs w:val="24"/>
          <w:highlight w:val="none"/>
          <w:lang w:val="en-US"/>
        </w:rPr>
        <w:t>业绩合同中须体现</w:t>
      </w:r>
      <w:r>
        <w:rPr>
          <w:rFonts w:hint="eastAsia" w:ascii="Times New Roman" w:hAnsi="Times New Roman" w:eastAsia="宋体" w:cs="Times New Roman"/>
          <w:color w:val="auto"/>
          <w:sz w:val="24"/>
          <w:szCs w:val="24"/>
          <w:highlight w:val="none"/>
          <w:lang w:val="en-US" w:eastAsia="zh-CN"/>
        </w:rPr>
        <w:t>项目</w:t>
      </w:r>
      <w:r>
        <w:rPr>
          <w:rFonts w:hint="eastAsia" w:ascii="Times New Roman" w:hAnsi="Times New Roman" w:eastAsia="宋体" w:cs="Times New Roman"/>
          <w:color w:val="auto"/>
          <w:sz w:val="24"/>
          <w:szCs w:val="24"/>
          <w:highlight w:val="none"/>
          <w:lang w:val="en-US"/>
        </w:rPr>
        <w:t>属性、服务内容，否则须提供业绩合同甲方盖章的证明材料，</w:t>
      </w:r>
      <w:r>
        <w:rPr>
          <w:rFonts w:hint="eastAsia" w:ascii="Times New Roman" w:hAnsi="Times New Roman" w:eastAsia="宋体" w:cs="Times New Roman"/>
          <w:color w:val="auto"/>
          <w:sz w:val="24"/>
          <w:szCs w:val="24"/>
          <w:highlight w:val="none"/>
          <w:lang w:val="en-US" w:eastAsia="zh-CN"/>
        </w:rPr>
        <w:t>否则，不予认可。</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项目负责人业绩要求：/。</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投标人财务要求：/。</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投标人未被合肥市及其所辖县（市）、区（开发区）公共资源交易监督管理部门记不良行为记录的；或被记不良行为记录（以公布日期为准），但同时符合下列情形的：</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开标日前（含当日）6 个月内记分累计未满 10 分的；</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开标日前（含当日）12 个月内记分累计未满 15 分的；</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开标日前（含当日）18 个月内记分累计未满 20 分的；</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开标日前（含当日）24 个月内记分累计未满 25 分的。</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本次招标不接受联合体投标。</w:t>
      </w:r>
    </w:p>
    <w:p>
      <w:pPr>
        <w:snapToGrid w:val="0"/>
        <w:spacing w:line="360" w:lineRule="auto"/>
        <w:ind w:firstLine="482" w:firstLineChars="20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rPr>
        <w:t>三、获取招标文件</w:t>
      </w:r>
      <w:r>
        <w:rPr>
          <w:rFonts w:hint="default" w:ascii="Times New Roman" w:hAnsi="Times New Roman" w:eastAsia="宋体" w:cs="Times New Roman"/>
          <w:b/>
          <w:bCs/>
          <w:color w:val="auto"/>
          <w:sz w:val="24"/>
          <w:szCs w:val="24"/>
          <w:highlight w:val="none"/>
          <w:lang w:val="en-US" w:eastAsia="zh-CN"/>
        </w:rPr>
        <w:t>及报名方式</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时间：</w:t>
      </w:r>
      <w:r>
        <w:rPr>
          <w:rFonts w:hint="default" w:ascii="Times New Roman" w:hAnsi="Times New Roman" w:eastAsia="宋体" w:cs="Times New Roman"/>
          <w:color w:val="auto"/>
          <w:sz w:val="24"/>
          <w:szCs w:val="24"/>
          <w:highlight w:val="none"/>
          <w:u w:val="single"/>
        </w:rPr>
        <w:t>202</w:t>
      </w:r>
      <w:r>
        <w:rPr>
          <w:rFonts w:hint="eastAsia" w:ascii="Times New Roman" w:hAnsi="Times New Roman" w:eastAsia="宋体" w:cs="Times New Roman"/>
          <w:color w:val="auto"/>
          <w:sz w:val="24"/>
          <w:szCs w:val="24"/>
          <w:highlight w:val="none"/>
          <w:u w:val="single"/>
          <w:lang w:val="en-US" w:eastAsia="zh-CN"/>
        </w:rPr>
        <w:t>4</w:t>
      </w:r>
      <w:r>
        <w:rPr>
          <w:rFonts w:hint="default" w:ascii="Times New Roman" w:hAnsi="Times New Roman" w:eastAsia="宋体" w:cs="Times New Roman"/>
          <w:color w:val="auto"/>
          <w:sz w:val="24"/>
          <w:szCs w:val="24"/>
          <w:highlight w:val="none"/>
          <w:u w:val="single"/>
        </w:rPr>
        <w:t>年</w:t>
      </w:r>
      <w:r>
        <w:rPr>
          <w:rFonts w:hint="default" w:ascii="Times New Roman" w:hAnsi="Times New Roman" w:eastAsia="宋体" w:cs="Times New Roman"/>
          <w:color w:val="auto"/>
          <w:sz w:val="24"/>
          <w:szCs w:val="24"/>
          <w:highlight w:val="none"/>
          <w:u w:val="single"/>
          <w:lang w:val="en-US" w:eastAsia="zh-CN"/>
        </w:rPr>
        <w:t xml:space="preserve"> </w:t>
      </w:r>
      <w:r>
        <w:rPr>
          <w:rFonts w:hint="eastAsia" w:ascii="Times New Roman" w:hAnsi="Times New Roman" w:eastAsia="宋体" w:cs="Times New Roman"/>
          <w:color w:val="auto"/>
          <w:sz w:val="24"/>
          <w:szCs w:val="24"/>
          <w:highlight w:val="none"/>
          <w:u w:val="single"/>
          <w:lang w:val="en-US" w:eastAsia="zh-CN"/>
        </w:rPr>
        <w:t>04</w:t>
      </w:r>
      <w:r>
        <w:rPr>
          <w:rFonts w:hint="default" w:ascii="Times New Roman" w:hAnsi="Times New Roman" w:eastAsia="宋体" w:cs="Times New Roman"/>
          <w:color w:val="auto"/>
          <w:sz w:val="24"/>
          <w:szCs w:val="24"/>
          <w:highlight w:val="none"/>
          <w:u w:val="single"/>
        </w:rPr>
        <w:t>月</w:t>
      </w:r>
      <w:r>
        <w:rPr>
          <w:rFonts w:hint="default" w:ascii="Times New Roman" w:hAnsi="Times New Roman" w:eastAsia="宋体" w:cs="Times New Roman"/>
          <w:color w:val="auto"/>
          <w:sz w:val="24"/>
          <w:szCs w:val="24"/>
          <w:highlight w:val="none"/>
          <w:u w:val="single"/>
          <w:lang w:val="en-US" w:eastAsia="zh-CN"/>
        </w:rPr>
        <w:t xml:space="preserve"> </w:t>
      </w:r>
      <w:r>
        <w:rPr>
          <w:rFonts w:hint="eastAsia" w:ascii="Times New Roman" w:hAnsi="Times New Roman" w:eastAsia="宋体" w:cs="Times New Roman"/>
          <w:color w:val="auto"/>
          <w:sz w:val="24"/>
          <w:szCs w:val="24"/>
          <w:highlight w:val="none"/>
          <w:u w:val="single"/>
          <w:lang w:val="en-US" w:eastAsia="zh-CN"/>
        </w:rPr>
        <w:t>23</w:t>
      </w:r>
      <w:r>
        <w:rPr>
          <w:rFonts w:hint="default" w:ascii="Times New Roman" w:hAnsi="Times New Roman" w:eastAsia="宋体" w:cs="Times New Roman"/>
          <w:color w:val="auto"/>
          <w:sz w:val="24"/>
          <w:szCs w:val="24"/>
          <w:highlight w:val="none"/>
          <w:u w:val="single"/>
        </w:rPr>
        <w:t>日</w:t>
      </w:r>
      <w:r>
        <w:rPr>
          <w:rFonts w:hint="default" w:ascii="Times New Roman" w:hAnsi="Times New Roman" w:eastAsia="宋体" w:cs="Times New Roman"/>
          <w:color w:val="auto"/>
          <w:sz w:val="24"/>
          <w:szCs w:val="24"/>
          <w:highlight w:val="none"/>
        </w:rPr>
        <w:t>至</w:t>
      </w:r>
      <w:r>
        <w:rPr>
          <w:rFonts w:hint="default" w:ascii="Times New Roman" w:hAnsi="Times New Roman" w:eastAsia="宋体" w:cs="Times New Roman"/>
          <w:color w:val="auto"/>
          <w:sz w:val="24"/>
          <w:szCs w:val="24"/>
          <w:highlight w:val="none"/>
          <w:u w:val="single"/>
        </w:rPr>
        <w:t>202</w:t>
      </w:r>
      <w:r>
        <w:rPr>
          <w:rFonts w:hint="eastAsia" w:ascii="Times New Roman" w:hAnsi="Times New Roman" w:eastAsia="宋体" w:cs="Times New Roman"/>
          <w:color w:val="auto"/>
          <w:sz w:val="24"/>
          <w:szCs w:val="24"/>
          <w:highlight w:val="none"/>
          <w:u w:val="single"/>
          <w:lang w:val="en-US" w:eastAsia="zh-CN"/>
        </w:rPr>
        <w:t>4</w:t>
      </w:r>
      <w:r>
        <w:rPr>
          <w:rFonts w:hint="default" w:ascii="Times New Roman" w:hAnsi="Times New Roman" w:eastAsia="宋体" w:cs="Times New Roman"/>
          <w:color w:val="auto"/>
          <w:sz w:val="24"/>
          <w:szCs w:val="24"/>
          <w:highlight w:val="none"/>
          <w:u w:val="single"/>
        </w:rPr>
        <w:t>年</w:t>
      </w:r>
      <w:r>
        <w:rPr>
          <w:rFonts w:hint="default" w:ascii="Times New Roman" w:hAnsi="Times New Roman" w:eastAsia="宋体" w:cs="Times New Roman"/>
          <w:color w:val="auto"/>
          <w:sz w:val="24"/>
          <w:szCs w:val="24"/>
          <w:highlight w:val="none"/>
          <w:u w:val="single"/>
          <w:lang w:val="en-US" w:eastAsia="zh-CN"/>
        </w:rPr>
        <w:t xml:space="preserve"> </w:t>
      </w:r>
      <w:r>
        <w:rPr>
          <w:rFonts w:hint="eastAsia" w:ascii="Times New Roman" w:hAnsi="Times New Roman" w:eastAsia="宋体" w:cs="Times New Roman"/>
          <w:color w:val="auto"/>
          <w:sz w:val="24"/>
          <w:szCs w:val="24"/>
          <w:highlight w:val="none"/>
          <w:u w:val="single"/>
          <w:lang w:val="en-US" w:eastAsia="zh-CN"/>
        </w:rPr>
        <w:t>04</w:t>
      </w:r>
      <w:r>
        <w:rPr>
          <w:rFonts w:hint="default" w:ascii="Times New Roman" w:hAnsi="Times New Roman" w:eastAsia="宋体" w:cs="Times New Roman"/>
          <w:color w:val="auto"/>
          <w:sz w:val="24"/>
          <w:szCs w:val="24"/>
          <w:highlight w:val="none"/>
          <w:u w:val="single"/>
        </w:rPr>
        <w:t>月</w:t>
      </w:r>
      <w:r>
        <w:rPr>
          <w:rFonts w:hint="default" w:ascii="Times New Roman" w:hAnsi="Times New Roman" w:eastAsia="宋体" w:cs="Times New Roman"/>
          <w:color w:val="auto"/>
          <w:sz w:val="24"/>
          <w:szCs w:val="24"/>
          <w:highlight w:val="none"/>
          <w:u w:val="single"/>
          <w:lang w:val="en-US" w:eastAsia="zh-CN"/>
        </w:rPr>
        <w:t xml:space="preserve"> </w:t>
      </w:r>
      <w:r>
        <w:rPr>
          <w:rFonts w:hint="eastAsia" w:ascii="Times New Roman" w:hAnsi="Times New Roman" w:eastAsia="宋体" w:cs="Times New Roman"/>
          <w:color w:val="auto"/>
          <w:sz w:val="24"/>
          <w:szCs w:val="24"/>
          <w:highlight w:val="none"/>
          <w:u w:val="single"/>
          <w:lang w:val="en-US" w:eastAsia="zh-CN"/>
        </w:rPr>
        <w:t>30</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日</w:t>
      </w:r>
      <w:r>
        <w:rPr>
          <w:rFonts w:hint="default" w:ascii="Times New Roman" w:hAnsi="Times New Roman" w:eastAsia="宋体" w:cs="Times New Roman"/>
          <w:color w:val="auto"/>
          <w:sz w:val="24"/>
          <w:szCs w:val="24"/>
          <w:highlight w:val="none"/>
        </w:rPr>
        <w:t>，每天上午</w:t>
      </w:r>
      <w:r>
        <w:rPr>
          <w:rFonts w:hint="default" w:ascii="Times New Roman" w:hAnsi="Times New Roman" w:eastAsia="宋体" w:cs="Times New Roman"/>
          <w:color w:val="auto"/>
          <w:sz w:val="24"/>
          <w:szCs w:val="24"/>
          <w:highlight w:val="none"/>
          <w:u w:val="single"/>
        </w:rPr>
        <w:t>9:00</w:t>
      </w:r>
      <w:r>
        <w:rPr>
          <w:rFonts w:hint="default" w:ascii="Times New Roman" w:hAnsi="Times New Roman" w:eastAsia="宋体" w:cs="Times New Roman"/>
          <w:color w:val="auto"/>
          <w:sz w:val="24"/>
          <w:szCs w:val="24"/>
          <w:highlight w:val="none"/>
        </w:rPr>
        <w:t>至</w:t>
      </w:r>
      <w:r>
        <w:rPr>
          <w:rFonts w:hint="default" w:ascii="Times New Roman" w:hAnsi="Times New Roman" w:eastAsia="宋体" w:cs="Times New Roman"/>
          <w:color w:val="auto"/>
          <w:sz w:val="24"/>
          <w:szCs w:val="24"/>
          <w:highlight w:val="none"/>
          <w:u w:val="single"/>
        </w:rPr>
        <w:t>12:00</w:t>
      </w:r>
      <w:r>
        <w:rPr>
          <w:rFonts w:hint="default" w:ascii="Times New Roman" w:hAnsi="Times New Roman" w:eastAsia="宋体" w:cs="Times New Roman"/>
          <w:color w:val="auto"/>
          <w:sz w:val="24"/>
          <w:szCs w:val="24"/>
          <w:highlight w:val="none"/>
        </w:rPr>
        <w:t>，下午</w:t>
      </w:r>
      <w:r>
        <w:rPr>
          <w:rFonts w:hint="default" w:ascii="Times New Roman" w:hAnsi="Times New Roman" w:eastAsia="宋体" w:cs="Times New Roman"/>
          <w:color w:val="auto"/>
          <w:sz w:val="24"/>
          <w:szCs w:val="24"/>
          <w:highlight w:val="none"/>
          <w:u w:val="single"/>
        </w:rPr>
        <w:t>14:00</w:t>
      </w:r>
      <w:r>
        <w:rPr>
          <w:rFonts w:hint="default" w:ascii="Times New Roman" w:hAnsi="Times New Roman" w:eastAsia="宋体" w:cs="Times New Roman"/>
          <w:color w:val="auto"/>
          <w:sz w:val="24"/>
          <w:szCs w:val="24"/>
          <w:highlight w:val="none"/>
        </w:rPr>
        <w:t>至</w:t>
      </w:r>
      <w:r>
        <w:rPr>
          <w:rFonts w:hint="default" w:ascii="Times New Roman" w:hAnsi="Times New Roman" w:eastAsia="宋体" w:cs="Times New Roman"/>
          <w:color w:val="auto"/>
          <w:sz w:val="24"/>
          <w:szCs w:val="24"/>
          <w:highlight w:val="none"/>
          <w:u w:val="single"/>
        </w:rPr>
        <w:t>17:00</w:t>
      </w:r>
      <w:r>
        <w:rPr>
          <w:rFonts w:hint="default" w:ascii="Times New Roman" w:hAnsi="Times New Roman" w:eastAsia="宋体" w:cs="Times New Roman"/>
          <w:color w:val="auto"/>
          <w:sz w:val="24"/>
          <w:szCs w:val="24"/>
          <w:highlight w:val="none"/>
        </w:rPr>
        <w:t>（北京时间，法定节假日除外）</w:t>
      </w:r>
    </w:p>
    <w:p>
      <w:pPr>
        <w:snapToGrid w:val="0"/>
        <w:spacing w:line="360" w:lineRule="auto"/>
        <w:ind w:firstLine="480" w:firstLineChars="200"/>
        <w:rPr>
          <w:rFonts w:hint="default" w:ascii="Times New Roman" w:hAnsi="Times New Roman" w:eastAsia="宋体" w:cs="Times New Roman"/>
          <w:color w:val="auto"/>
          <w:sz w:val="24"/>
          <w:szCs w:val="24"/>
          <w:highlight w:val="none"/>
          <w:shd w:val="clear" w:color="auto" w:fill="FFFFFF"/>
        </w:rPr>
      </w:pPr>
      <w:r>
        <w:rPr>
          <w:rFonts w:hint="default" w:ascii="Times New Roman" w:hAnsi="Times New Roman" w:eastAsia="宋体" w:cs="Times New Roman"/>
          <w:color w:val="auto"/>
          <w:sz w:val="24"/>
          <w:szCs w:val="24"/>
          <w:highlight w:val="none"/>
        </w:rPr>
        <w:t>方式：登录</w:t>
      </w:r>
      <w:r>
        <w:rPr>
          <w:rFonts w:hint="default" w:ascii="Times New Roman" w:hAnsi="Times New Roman" w:eastAsia="宋体" w:cs="Times New Roman"/>
          <w:color w:val="auto"/>
          <w:sz w:val="24"/>
          <w:szCs w:val="24"/>
          <w:highlight w:val="none"/>
          <w:u w:val="single"/>
        </w:rPr>
        <w:t>合肥包河文广产业投资有限公司官方网站http://www.bhwgcy.com/</w:t>
      </w:r>
      <w:r>
        <w:rPr>
          <w:rFonts w:hint="default" w:ascii="Times New Roman" w:hAnsi="Times New Roman" w:eastAsia="宋体" w:cs="Times New Roman"/>
          <w:color w:val="auto"/>
          <w:sz w:val="24"/>
          <w:szCs w:val="24"/>
          <w:highlight w:val="none"/>
          <w:shd w:val="clear" w:color="auto" w:fill="FFFFFF"/>
        </w:rPr>
        <w:t>并下载招标文件及相关附件。在投标截止日前，将投标文件密封送至</w:t>
      </w:r>
      <w:r>
        <w:rPr>
          <w:rFonts w:hint="default" w:ascii="Times New Roman" w:hAnsi="Times New Roman" w:eastAsia="宋体" w:cs="Times New Roman"/>
          <w:color w:val="auto"/>
          <w:sz w:val="24"/>
          <w:szCs w:val="24"/>
          <w:highlight w:val="none"/>
          <w:shd w:val="clear" w:color="auto" w:fill="FFFFFF"/>
          <w:lang w:eastAsia="zh-CN"/>
        </w:rPr>
        <w:t>（</w:t>
      </w:r>
      <w:r>
        <w:rPr>
          <w:rFonts w:hint="default" w:ascii="Times New Roman" w:hAnsi="Times New Roman" w:eastAsia="宋体" w:cs="Times New Roman"/>
          <w:color w:val="auto"/>
          <w:sz w:val="24"/>
          <w:szCs w:val="24"/>
          <w:highlight w:val="none"/>
          <w:shd w:val="clear" w:color="auto" w:fill="FFFFFF"/>
          <w:lang w:val="en-US" w:eastAsia="zh-CN"/>
        </w:rPr>
        <w:t>或快递</w:t>
      </w:r>
      <w:r>
        <w:rPr>
          <w:rFonts w:hint="default" w:ascii="Times New Roman" w:hAnsi="Times New Roman" w:eastAsia="宋体" w:cs="Times New Roman"/>
          <w:color w:val="auto"/>
          <w:sz w:val="24"/>
          <w:szCs w:val="24"/>
          <w:highlight w:val="none"/>
          <w:shd w:val="clear" w:color="auto" w:fill="FFFFFF"/>
          <w:lang w:eastAsia="zh-CN"/>
        </w:rPr>
        <w:t>）</w:t>
      </w:r>
      <w:r>
        <w:rPr>
          <w:rFonts w:hint="default" w:ascii="Times New Roman" w:hAnsi="Times New Roman" w:eastAsia="宋体" w:cs="Times New Roman"/>
          <w:color w:val="auto"/>
          <w:sz w:val="24"/>
          <w:szCs w:val="24"/>
          <w:highlight w:val="none"/>
          <w:shd w:val="clear" w:color="auto" w:fill="FFFFFF"/>
        </w:rPr>
        <w:t>项目</w:t>
      </w:r>
      <w:r>
        <w:rPr>
          <w:rFonts w:hint="default" w:ascii="Times New Roman" w:hAnsi="Times New Roman" w:eastAsia="宋体" w:cs="Times New Roman"/>
          <w:color w:val="auto"/>
          <w:sz w:val="24"/>
          <w:szCs w:val="24"/>
          <w:highlight w:val="none"/>
          <w:shd w:val="clear" w:color="auto" w:fill="FFFFFF"/>
          <w:lang w:val="en-US" w:eastAsia="zh-CN"/>
        </w:rPr>
        <w:t>联系</w:t>
      </w:r>
      <w:r>
        <w:rPr>
          <w:rFonts w:hint="default" w:ascii="Times New Roman" w:hAnsi="Times New Roman" w:eastAsia="宋体" w:cs="Times New Roman"/>
          <w:color w:val="auto"/>
          <w:sz w:val="24"/>
          <w:szCs w:val="24"/>
          <w:highlight w:val="none"/>
          <w:shd w:val="clear" w:color="auto" w:fill="FFFFFF"/>
        </w:rPr>
        <w:t>人处即可。</w:t>
      </w:r>
    </w:p>
    <w:p>
      <w:pPr>
        <w:snapToGrid w:val="0"/>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四、提交投标文件截止时间、开标时间和地点</w:t>
      </w:r>
    </w:p>
    <w:p>
      <w:pPr>
        <w:snapToGrid w:val="0"/>
        <w:spacing w:line="360" w:lineRule="auto"/>
        <w:ind w:firstLine="480" w:firstLineChars="200"/>
        <w:rPr>
          <w:rFonts w:hint="default" w:ascii="Times New Roman" w:hAnsi="Times New Roman" w:eastAsia="宋体" w:cs="Times New Roman"/>
          <w:color w:val="auto"/>
          <w:sz w:val="24"/>
          <w:szCs w:val="24"/>
          <w:highlight w:val="none"/>
          <w:shd w:val="clear" w:color="auto" w:fill="FFFFFF"/>
        </w:rPr>
      </w:pPr>
      <w:r>
        <w:rPr>
          <w:rFonts w:hint="default" w:ascii="Times New Roman" w:hAnsi="Times New Roman" w:eastAsia="宋体" w:cs="Times New Roman"/>
          <w:color w:val="auto"/>
          <w:sz w:val="24"/>
          <w:szCs w:val="24"/>
          <w:highlight w:val="none"/>
          <w:shd w:val="clear" w:color="auto" w:fill="FFFFFF"/>
        </w:rPr>
        <w:t>时间：</w:t>
      </w:r>
      <w:r>
        <w:rPr>
          <w:rFonts w:hint="default" w:ascii="Times New Roman" w:hAnsi="Times New Roman" w:eastAsia="宋体" w:cs="Times New Roman"/>
          <w:color w:val="auto"/>
          <w:sz w:val="24"/>
          <w:szCs w:val="24"/>
          <w:highlight w:val="none"/>
          <w:u w:val="single"/>
          <w:shd w:val="clear" w:color="auto" w:fill="FFFFFF"/>
        </w:rPr>
        <w:t>202</w:t>
      </w:r>
      <w:r>
        <w:rPr>
          <w:rFonts w:hint="eastAsia" w:ascii="Times New Roman" w:hAnsi="Times New Roman" w:eastAsia="宋体" w:cs="Times New Roman"/>
          <w:color w:val="auto"/>
          <w:sz w:val="24"/>
          <w:szCs w:val="24"/>
          <w:highlight w:val="none"/>
          <w:u w:val="single"/>
          <w:shd w:val="clear" w:color="auto" w:fill="FFFFFF"/>
          <w:lang w:val="en-US" w:eastAsia="zh-CN"/>
        </w:rPr>
        <w:t>4</w:t>
      </w:r>
      <w:r>
        <w:rPr>
          <w:rFonts w:hint="default" w:ascii="Times New Roman" w:hAnsi="Times New Roman" w:eastAsia="宋体" w:cs="Times New Roman"/>
          <w:color w:val="auto"/>
          <w:sz w:val="24"/>
          <w:szCs w:val="24"/>
          <w:highlight w:val="none"/>
          <w:u w:val="single"/>
          <w:shd w:val="clear" w:color="auto" w:fill="FFFFFF"/>
        </w:rPr>
        <w:t>年</w:t>
      </w:r>
      <w:r>
        <w:rPr>
          <w:rFonts w:hint="eastAsia" w:ascii="Times New Roman" w:hAnsi="Times New Roman" w:eastAsia="宋体" w:cs="Times New Roman"/>
          <w:color w:val="auto"/>
          <w:sz w:val="24"/>
          <w:szCs w:val="24"/>
          <w:highlight w:val="none"/>
          <w:u w:val="single"/>
          <w:shd w:val="clear" w:color="auto" w:fill="FFFFFF"/>
          <w:lang w:val="en-US" w:eastAsia="zh-CN"/>
        </w:rPr>
        <w:t>04</w:t>
      </w:r>
      <w:r>
        <w:rPr>
          <w:rFonts w:hint="default" w:ascii="Times New Roman" w:hAnsi="Times New Roman" w:eastAsia="宋体" w:cs="Times New Roman"/>
          <w:color w:val="auto"/>
          <w:sz w:val="24"/>
          <w:szCs w:val="24"/>
          <w:highlight w:val="none"/>
          <w:u w:val="single"/>
          <w:shd w:val="clear" w:color="auto" w:fill="FFFFFF"/>
        </w:rPr>
        <w:t>月</w:t>
      </w:r>
      <w:r>
        <w:rPr>
          <w:rFonts w:hint="eastAsia" w:ascii="Times New Roman" w:hAnsi="Times New Roman" w:eastAsia="宋体" w:cs="Times New Roman"/>
          <w:color w:val="auto"/>
          <w:sz w:val="24"/>
          <w:szCs w:val="24"/>
          <w:highlight w:val="none"/>
          <w:u w:val="single"/>
          <w:shd w:val="clear" w:color="auto" w:fill="FFFFFF"/>
          <w:lang w:val="en-US" w:eastAsia="zh-CN"/>
        </w:rPr>
        <w:t>30</w:t>
      </w:r>
      <w:r>
        <w:rPr>
          <w:rFonts w:hint="default" w:ascii="Times New Roman" w:hAnsi="Times New Roman" w:eastAsia="宋体" w:cs="Times New Roman"/>
          <w:color w:val="auto"/>
          <w:sz w:val="24"/>
          <w:szCs w:val="24"/>
          <w:highlight w:val="none"/>
          <w:u w:val="single"/>
          <w:shd w:val="clear" w:color="auto" w:fill="FFFFFF"/>
        </w:rPr>
        <w:t>日</w:t>
      </w:r>
      <w:r>
        <w:rPr>
          <w:rFonts w:hint="eastAsia" w:ascii="Times New Roman" w:hAnsi="Times New Roman" w:eastAsia="宋体" w:cs="Times New Roman"/>
          <w:color w:val="auto"/>
          <w:sz w:val="24"/>
          <w:szCs w:val="24"/>
          <w:highlight w:val="none"/>
          <w:u w:val="single"/>
          <w:shd w:val="clear" w:color="auto" w:fill="FFFFFF"/>
          <w:lang w:val="en-US" w:eastAsia="zh-CN"/>
        </w:rPr>
        <w:t>14</w:t>
      </w:r>
      <w:r>
        <w:rPr>
          <w:rFonts w:hint="default" w:ascii="Times New Roman" w:hAnsi="Times New Roman" w:eastAsia="宋体" w:cs="Times New Roman"/>
          <w:color w:val="auto"/>
          <w:sz w:val="24"/>
          <w:szCs w:val="24"/>
          <w:highlight w:val="none"/>
          <w:u w:val="single"/>
          <w:shd w:val="clear" w:color="auto" w:fill="FFFFFF"/>
        </w:rPr>
        <w:t>点</w:t>
      </w:r>
      <w:r>
        <w:rPr>
          <w:rFonts w:hint="eastAsia" w:ascii="Times New Roman" w:hAnsi="Times New Roman" w:eastAsia="宋体" w:cs="Times New Roman"/>
          <w:color w:val="auto"/>
          <w:sz w:val="24"/>
          <w:szCs w:val="24"/>
          <w:highlight w:val="none"/>
          <w:u w:val="single"/>
          <w:shd w:val="clear" w:color="auto" w:fill="FFFFFF"/>
          <w:lang w:val="en-US" w:eastAsia="zh-CN"/>
        </w:rPr>
        <w:t>3</w:t>
      </w:r>
      <w:r>
        <w:rPr>
          <w:rFonts w:hint="default" w:ascii="Times New Roman" w:hAnsi="Times New Roman" w:eastAsia="宋体" w:cs="Times New Roman"/>
          <w:color w:val="auto"/>
          <w:sz w:val="24"/>
          <w:szCs w:val="24"/>
          <w:highlight w:val="none"/>
          <w:u w:val="single"/>
          <w:shd w:val="clear" w:color="auto" w:fill="FFFFFF"/>
        </w:rPr>
        <w:t>0分</w:t>
      </w:r>
      <w:r>
        <w:rPr>
          <w:rFonts w:hint="default" w:ascii="Times New Roman" w:hAnsi="Times New Roman" w:eastAsia="宋体" w:cs="Times New Roman"/>
          <w:color w:val="auto"/>
          <w:sz w:val="24"/>
          <w:szCs w:val="24"/>
          <w:highlight w:val="none"/>
          <w:shd w:val="clear" w:color="auto" w:fill="FFFFFF"/>
        </w:rPr>
        <w:t>（北京时间）</w:t>
      </w:r>
    </w:p>
    <w:p>
      <w:pPr>
        <w:snapToGrid w:val="0"/>
        <w:spacing w:line="360" w:lineRule="auto"/>
        <w:ind w:firstLine="480" w:firstLineChars="200"/>
        <w:rPr>
          <w:rFonts w:hint="default" w:ascii="Times New Roman" w:hAnsi="Times New Roman" w:eastAsia="宋体" w:cs="Times New Roman"/>
          <w:color w:val="auto"/>
          <w:sz w:val="24"/>
          <w:szCs w:val="24"/>
          <w:highlight w:val="none"/>
          <w:shd w:val="clear" w:color="auto" w:fill="FFFFFF"/>
          <w:lang w:val="en-US" w:eastAsia="zh-CN"/>
        </w:rPr>
      </w:pPr>
      <w:r>
        <w:rPr>
          <w:rFonts w:hint="eastAsia" w:ascii="Times New Roman" w:hAnsi="Times New Roman" w:eastAsia="宋体" w:cs="Times New Roman"/>
          <w:color w:val="auto"/>
          <w:sz w:val="24"/>
          <w:szCs w:val="24"/>
          <w:highlight w:val="none"/>
          <w:shd w:val="clear" w:color="auto" w:fill="FFFFFF"/>
          <w:lang w:val="en-US" w:eastAsia="zh-CN"/>
        </w:rPr>
        <w:t>备注：开标时间同提交投标文件截止时间</w:t>
      </w:r>
    </w:p>
    <w:p>
      <w:pPr>
        <w:snapToGrid w:val="0"/>
        <w:spacing w:line="360" w:lineRule="auto"/>
        <w:ind w:firstLine="480" w:firstLineChars="200"/>
        <w:rPr>
          <w:rFonts w:hint="default" w:ascii="Times New Roman" w:hAnsi="Times New Roman" w:eastAsia="宋体" w:cs="Times New Roman"/>
          <w:color w:val="auto"/>
          <w:sz w:val="24"/>
          <w:szCs w:val="24"/>
          <w:highlight w:val="none"/>
          <w:u w:val="single"/>
          <w:lang w:val="en-US" w:eastAsia="zh-CN"/>
        </w:rPr>
      </w:pPr>
      <w:r>
        <w:rPr>
          <w:rFonts w:hint="default" w:ascii="Times New Roman" w:hAnsi="Times New Roman" w:eastAsia="宋体" w:cs="Times New Roman"/>
          <w:color w:val="auto"/>
          <w:sz w:val="24"/>
          <w:szCs w:val="24"/>
          <w:highlight w:val="none"/>
        </w:rPr>
        <w:t>地点：</w:t>
      </w:r>
      <w:r>
        <w:rPr>
          <w:rFonts w:hint="default" w:ascii="Times New Roman" w:hAnsi="Times New Roman" w:eastAsia="宋体" w:cs="Times New Roman"/>
          <w:color w:val="auto"/>
          <w:sz w:val="24"/>
          <w:szCs w:val="24"/>
          <w:highlight w:val="none"/>
          <w:u w:val="single"/>
        </w:rPr>
        <w:t>合肥市包河区大圩镇花园大道365号</w:t>
      </w:r>
      <w:r>
        <w:rPr>
          <w:rFonts w:hint="default" w:ascii="Times New Roman" w:hAnsi="Times New Roman" w:eastAsia="宋体" w:cs="Times New Roman"/>
          <w:color w:val="auto"/>
          <w:sz w:val="24"/>
          <w:szCs w:val="24"/>
          <w:highlight w:val="none"/>
          <w:u w:val="single"/>
          <w:lang w:eastAsia="zh-CN"/>
        </w:rPr>
        <w:t>，</w:t>
      </w:r>
      <w:r>
        <w:rPr>
          <w:rFonts w:hint="default" w:ascii="Times New Roman" w:hAnsi="Times New Roman" w:eastAsia="宋体" w:cs="Times New Roman"/>
          <w:color w:val="auto"/>
          <w:sz w:val="24"/>
          <w:szCs w:val="24"/>
          <w:highlight w:val="none"/>
          <w:u w:val="single"/>
        </w:rPr>
        <w:t>合肥</w:t>
      </w:r>
      <w:r>
        <w:rPr>
          <w:rFonts w:hint="eastAsia" w:ascii="Times New Roman" w:hAnsi="Times New Roman" w:eastAsia="宋体" w:cs="Times New Roman"/>
          <w:color w:val="auto"/>
          <w:sz w:val="24"/>
          <w:szCs w:val="24"/>
          <w:highlight w:val="none"/>
          <w:u w:val="single"/>
          <w:lang w:val="en-US" w:eastAsia="zh-CN"/>
        </w:rPr>
        <w:t>包河文广产业投资有限公司会议室</w:t>
      </w:r>
    </w:p>
    <w:p>
      <w:pPr>
        <w:snapToGrid w:val="0"/>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五、公告期限</w:t>
      </w:r>
    </w:p>
    <w:p>
      <w:pPr>
        <w:snapToGrid w:val="0"/>
        <w:spacing w:line="360" w:lineRule="auto"/>
        <w:ind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自本公告发布之日起</w:t>
      </w:r>
      <w:r>
        <w:rPr>
          <w:rFonts w:hint="eastAsia" w:ascii="Times New Roman" w:hAnsi="Times New Roman" w:eastAsia="宋体" w:cs="Times New Roman"/>
          <w:color w:val="auto"/>
          <w:kern w:val="0"/>
          <w:sz w:val="24"/>
          <w:szCs w:val="24"/>
          <w:highlight w:val="none"/>
          <w:lang w:val="en-US" w:eastAsia="zh-CN"/>
        </w:rPr>
        <w:t>7</w:t>
      </w:r>
      <w:r>
        <w:rPr>
          <w:rFonts w:hint="default" w:ascii="Times New Roman" w:hAnsi="Times New Roman" w:eastAsia="宋体" w:cs="Times New Roman"/>
          <w:color w:val="auto"/>
          <w:kern w:val="0"/>
          <w:sz w:val="24"/>
          <w:szCs w:val="24"/>
          <w:highlight w:val="none"/>
        </w:rPr>
        <w:t>日</w:t>
      </w:r>
      <w:r>
        <w:rPr>
          <w:rFonts w:hint="default" w:ascii="Times New Roman" w:hAnsi="Times New Roman" w:eastAsia="宋体" w:cs="Times New Roman"/>
          <w:color w:val="auto"/>
          <w:kern w:val="0"/>
          <w:sz w:val="24"/>
          <w:szCs w:val="24"/>
          <w:highlight w:val="none"/>
          <w:lang w:val="en-US" w:eastAsia="zh-CN"/>
        </w:rPr>
        <w:t>内</w:t>
      </w:r>
      <w:r>
        <w:rPr>
          <w:rFonts w:hint="default" w:ascii="Times New Roman" w:hAnsi="Times New Roman" w:eastAsia="宋体" w:cs="Times New Roman"/>
          <w:color w:val="auto"/>
          <w:kern w:val="0"/>
          <w:sz w:val="24"/>
          <w:szCs w:val="24"/>
          <w:highlight w:val="none"/>
        </w:rPr>
        <w:t>。</w:t>
      </w:r>
    </w:p>
    <w:p>
      <w:pPr>
        <w:snapToGrid w:val="0"/>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六、其他补充事宜</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1.潜在投标人必须在获取截止时间前完成登记，未登记、逾期登记的投标均无效。获取过程中有任何疑问或问题，请与项目联系人联系；</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2.本次招标公告同时在</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上发布。</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3.潜在投标人应合理安排招标文件获取时间，特别是网络速度慢的地区防止在系统关闭前网络拥堵无法操作。如果因计算机及网络故障造成无法完成招标文件获取，责任自负。</w:t>
      </w:r>
    </w:p>
    <w:p>
      <w:pPr>
        <w:snapToGrid w:val="0"/>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七、对本次招标提出询问，请按以下方式联系。</w:t>
      </w:r>
    </w:p>
    <w:p>
      <w:pPr>
        <w:widowControl/>
        <w:snapToGrid w:val="0"/>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eastAsia="zh-CN"/>
        </w:rPr>
        <w:t>招标人</w:t>
      </w:r>
      <w:r>
        <w:rPr>
          <w:rFonts w:hint="default" w:ascii="Times New Roman" w:hAnsi="Times New Roman" w:eastAsia="宋体" w:cs="Times New Roman"/>
          <w:color w:val="auto"/>
          <w:sz w:val="24"/>
          <w:szCs w:val="24"/>
          <w:highlight w:val="none"/>
        </w:rPr>
        <w:t>信息</w:t>
      </w:r>
    </w:p>
    <w:p>
      <w:pPr>
        <w:snapToGrid w:val="0"/>
        <w:spacing w:line="360" w:lineRule="auto"/>
        <w:ind w:firstLine="480" w:firstLineChars="200"/>
        <w:jc w:val="left"/>
        <w:rPr>
          <w:rFonts w:hint="default" w:ascii="Times New Roman" w:hAnsi="Times New Roman" w:eastAsia="宋体" w:cs="Times New Roman"/>
          <w:color w:val="auto"/>
          <w:sz w:val="24"/>
          <w:szCs w:val="24"/>
          <w:highlight w:val="none"/>
          <w:u w:val="single"/>
          <w:lang w:val="en-US" w:eastAsia="zh-CN"/>
        </w:rPr>
      </w:pPr>
      <w:r>
        <w:rPr>
          <w:rFonts w:hint="default" w:ascii="Times New Roman" w:hAnsi="Times New Roman" w:eastAsia="宋体" w:cs="Times New Roman"/>
          <w:color w:val="auto"/>
          <w:sz w:val="24"/>
          <w:szCs w:val="24"/>
          <w:highlight w:val="none"/>
        </w:rPr>
        <w:t>名称：</w:t>
      </w:r>
      <w:r>
        <w:rPr>
          <w:rFonts w:hint="eastAsia"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lang w:val="en-US" w:eastAsia="zh-CN"/>
        </w:rPr>
        <w:t>合肥包河文广产业投资有限公司</w:t>
      </w:r>
      <w:r>
        <w:rPr>
          <w:rFonts w:hint="eastAsia" w:ascii="Times New Roman" w:hAnsi="Times New Roman" w:eastAsia="宋体" w:cs="Times New Roman"/>
          <w:color w:val="auto"/>
          <w:sz w:val="24"/>
          <w:szCs w:val="24"/>
          <w:highlight w:val="none"/>
          <w:u w:val="single"/>
          <w:lang w:val="en-US" w:eastAsia="zh-CN"/>
        </w:rPr>
        <w:t xml:space="preserve">    </w:t>
      </w:r>
    </w:p>
    <w:p>
      <w:pPr>
        <w:snapToGrid w:val="0"/>
        <w:spacing w:line="360" w:lineRule="auto"/>
        <w:ind w:firstLine="480" w:firstLineChars="200"/>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地址：</w:t>
      </w:r>
      <w:r>
        <w:rPr>
          <w:rFonts w:hint="default" w:ascii="Times New Roman" w:hAnsi="Times New Roman" w:eastAsia="宋体" w:cs="Times New Roman"/>
          <w:color w:val="auto"/>
          <w:sz w:val="24"/>
          <w:szCs w:val="24"/>
          <w:highlight w:val="none"/>
          <w:u w:val="single"/>
        </w:rPr>
        <w:t>合肥市包河区大圩镇花园大道365号</w:t>
      </w:r>
      <w:r>
        <w:rPr>
          <w:rFonts w:hint="default" w:ascii="Times New Roman" w:hAnsi="Times New Roman" w:eastAsia="宋体" w:cs="Times New Roman"/>
          <w:color w:val="auto"/>
          <w:sz w:val="24"/>
          <w:szCs w:val="24"/>
          <w:highlight w:val="none"/>
          <w:u w:val="single"/>
          <w:lang w:eastAsia="zh-CN"/>
        </w:rPr>
        <w:t>，</w:t>
      </w:r>
      <w:r>
        <w:rPr>
          <w:rFonts w:hint="eastAsia" w:ascii="Times New Roman" w:hAnsi="Times New Roman" w:eastAsia="宋体" w:cs="Times New Roman"/>
          <w:color w:val="auto"/>
          <w:sz w:val="24"/>
          <w:szCs w:val="24"/>
          <w:highlight w:val="none"/>
          <w:u w:val="single"/>
          <w:lang w:val="en-US" w:eastAsia="zh-CN"/>
        </w:rPr>
        <w:t>滨湖卓越城</w:t>
      </w:r>
      <w:r>
        <w:rPr>
          <w:rFonts w:hint="default" w:ascii="Times New Roman" w:hAnsi="Times New Roman" w:eastAsia="宋体" w:cs="Times New Roman"/>
          <w:color w:val="auto"/>
          <w:sz w:val="24"/>
          <w:szCs w:val="24"/>
          <w:highlight w:val="none"/>
          <w:u w:val="single"/>
          <w:lang w:val="en-US" w:eastAsia="zh-CN"/>
        </w:rPr>
        <w:t>文华园A2栋</w:t>
      </w:r>
      <w:r>
        <w:rPr>
          <w:rFonts w:hint="eastAsia" w:ascii="Times New Roman" w:hAnsi="Times New Roman" w:eastAsia="宋体" w:cs="Times New Roman"/>
          <w:color w:val="auto"/>
          <w:sz w:val="24"/>
          <w:szCs w:val="24"/>
          <w:highlight w:val="none"/>
          <w:u w:val="single"/>
          <w:lang w:val="en-US" w:eastAsia="zh-CN"/>
        </w:rPr>
        <w:t>4</w:t>
      </w:r>
      <w:r>
        <w:rPr>
          <w:rFonts w:hint="default" w:ascii="Times New Roman" w:hAnsi="Times New Roman" w:eastAsia="宋体" w:cs="Times New Roman"/>
          <w:color w:val="auto"/>
          <w:sz w:val="24"/>
          <w:szCs w:val="24"/>
          <w:highlight w:val="none"/>
          <w:u w:val="single"/>
          <w:lang w:val="en-US" w:eastAsia="zh-CN"/>
        </w:rPr>
        <w:t>楼</w:t>
      </w:r>
    </w:p>
    <w:p>
      <w:pPr>
        <w:snapToGrid w:val="0"/>
        <w:spacing w:line="360" w:lineRule="auto"/>
        <w:ind w:firstLine="480" w:firstLineChars="200"/>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2.项目联系方式</w:t>
      </w:r>
    </w:p>
    <w:p>
      <w:pPr>
        <w:pStyle w:val="10"/>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rPr>
        <w:t>项目</w:t>
      </w:r>
      <w:r>
        <w:rPr>
          <w:rFonts w:hint="default" w:ascii="Times New Roman" w:hAnsi="Times New Roman" w:cs="Times New Roman"/>
          <w:color w:val="auto"/>
          <w:sz w:val="24"/>
          <w:szCs w:val="24"/>
          <w:highlight w:val="none"/>
          <w:lang w:val="en-US" w:eastAsia="zh-CN"/>
        </w:rPr>
        <w:t>联系</w:t>
      </w:r>
      <w:r>
        <w:rPr>
          <w:rFonts w:hint="default" w:ascii="Times New Roman" w:hAnsi="Times New Roman" w:cs="Times New Roman"/>
          <w:color w:val="auto"/>
          <w:sz w:val="24"/>
          <w:szCs w:val="24"/>
          <w:highlight w:val="none"/>
        </w:rPr>
        <w:t>人：</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p>
    <w:p>
      <w:pPr>
        <w:snapToGrid w:val="0"/>
        <w:spacing w:line="360" w:lineRule="auto"/>
        <w:ind w:firstLine="480" w:firstLineChars="200"/>
        <w:rPr>
          <w:rFonts w:hint="default" w:ascii="Times New Roman" w:hAnsi="Times New Roman" w:cs="Times New Roman"/>
          <w:color w:val="auto"/>
        </w:rPr>
      </w:pPr>
      <w:r>
        <w:rPr>
          <w:rFonts w:hint="default" w:ascii="Times New Roman" w:hAnsi="Times New Roman" w:eastAsia="宋体" w:cs="Times New Roman"/>
          <w:color w:val="auto"/>
          <w:sz w:val="24"/>
          <w:szCs w:val="24"/>
          <w:highlight w:val="none"/>
          <w:lang w:val="en-US" w:eastAsia="zh-CN"/>
        </w:rPr>
        <w:t>联系</w:t>
      </w:r>
      <w:r>
        <w:rPr>
          <w:rFonts w:hint="default" w:ascii="Times New Roman" w:hAnsi="Times New Roman" w:eastAsia="宋体" w:cs="Times New Roman"/>
          <w:color w:val="auto"/>
          <w:sz w:val="24"/>
          <w:szCs w:val="24"/>
          <w:highlight w:val="none"/>
        </w:rPr>
        <w:t>电话：</w:t>
      </w:r>
      <w:r>
        <w:rPr>
          <w:rFonts w:hint="default" w:ascii="Times New Roman" w:hAnsi="Times New Roman" w:eastAsia="宋体" w:cs="Times New Roman"/>
          <w:color w:val="auto"/>
          <w:sz w:val="24"/>
          <w:szCs w:val="24"/>
          <w:highlight w:val="none"/>
          <w:u w:val="single"/>
          <w:lang w:val="en-US" w:eastAsia="zh-CN"/>
        </w:rPr>
        <w:t xml:space="preserve">                  </w:t>
      </w:r>
    </w:p>
    <w:p>
      <w:pPr>
        <w:pStyle w:val="5"/>
        <w:rPr>
          <w:rFonts w:hint="eastAsia"/>
          <w:lang w:val="en-US" w:eastAsia="zh-CN"/>
        </w:rPr>
      </w:pPr>
    </w:p>
    <w:p>
      <w:pPr>
        <w:widowControl w:val="0"/>
        <w:numPr>
          <w:ilvl w:val="0"/>
          <w:numId w:val="0"/>
        </w:numPr>
        <w:jc w:val="both"/>
        <w:rPr>
          <w:rFonts w:hint="eastAsia" w:ascii="宋体" w:hAnsi="宋体" w:eastAsia="宋体" w:cs="宋体"/>
          <w:b/>
          <w:bCs/>
          <w:sz w:val="28"/>
          <w:szCs w:val="28"/>
          <w:u w:val="none"/>
          <w:lang w:val="en-US" w:eastAsia="zh-CN"/>
        </w:rPr>
      </w:pPr>
    </w:p>
    <w:p>
      <w:pPr>
        <w:widowControl w:val="0"/>
        <w:numPr>
          <w:ilvl w:val="0"/>
          <w:numId w:val="0"/>
        </w:numPr>
        <w:jc w:val="both"/>
        <w:rPr>
          <w:rFonts w:hint="default" w:ascii="宋体" w:hAnsi="宋体" w:eastAsia="宋体" w:cs="宋体"/>
          <w:b/>
          <w:bCs/>
          <w:sz w:val="28"/>
          <w:szCs w:val="28"/>
          <w:u w:val="none"/>
          <w:lang w:val="en-US" w:eastAsia="zh-CN"/>
        </w:rPr>
      </w:pPr>
    </w:p>
    <w:p>
      <w:pPr>
        <w:pStyle w:val="5"/>
        <w:rPr>
          <w:rFonts w:hint="default" w:ascii="宋体" w:hAnsi="宋体" w:eastAsia="宋体" w:cs="宋体"/>
          <w:b/>
          <w:bCs/>
          <w:sz w:val="28"/>
          <w:szCs w:val="28"/>
          <w:u w:val="none"/>
          <w:lang w:val="en-US" w:eastAsia="zh-CN"/>
        </w:rPr>
      </w:pPr>
    </w:p>
    <w:p>
      <w:pPr>
        <w:rPr>
          <w:rFonts w:hint="default" w:ascii="宋体" w:hAnsi="宋体" w:eastAsia="宋体" w:cs="宋体"/>
          <w:b/>
          <w:bCs/>
          <w:sz w:val="28"/>
          <w:szCs w:val="28"/>
          <w:u w:val="none"/>
          <w:lang w:val="en-US" w:eastAsia="zh-CN"/>
        </w:rPr>
      </w:pPr>
    </w:p>
    <w:p>
      <w:pPr>
        <w:spacing w:line="360" w:lineRule="auto"/>
        <w:jc w:val="both"/>
        <w:outlineLvl w:val="1"/>
        <w:rPr>
          <w:rFonts w:hint="default" w:ascii="Times New Roman" w:hAnsi="Times New Roman" w:eastAsia="宋体" w:cs="Times New Roman"/>
          <w:b/>
          <w:color w:val="auto"/>
          <w:sz w:val="28"/>
          <w:highlight w:val="none"/>
        </w:rPr>
      </w:pPr>
    </w:p>
    <w:p>
      <w:pPr>
        <w:spacing w:line="360" w:lineRule="auto"/>
        <w:jc w:val="both"/>
        <w:outlineLvl w:val="1"/>
        <w:rPr>
          <w:rFonts w:hint="default" w:ascii="Times New Roman" w:hAnsi="Times New Roman" w:eastAsia="宋体" w:cs="Times New Roman"/>
          <w:b/>
          <w:color w:val="auto"/>
          <w:sz w:val="28"/>
          <w:highlight w:val="none"/>
        </w:rPr>
      </w:pPr>
    </w:p>
    <w:p>
      <w:pPr>
        <w:pStyle w:val="15"/>
        <w:rPr>
          <w:rFonts w:hint="default" w:ascii="Times New Roman" w:hAnsi="Times New Roman" w:eastAsia="宋体" w:cs="Times New Roman"/>
          <w:b/>
          <w:color w:val="auto"/>
          <w:sz w:val="28"/>
          <w:highlight w:val="none"/>
        </w:rPr>
      </w:pPr>
    </w:p>
    <w:p>
      <w:pPr>
        <w:rPr>
          <w:rFonts w:hint="default"/>
        </w:rPr>
      </w:pPr>
    </w:p>
    <w:p>
      <w:pPr>
        <w:spacing w:line="360" w:lineRule="auto"/>
        <w:jc w:val="both"/>
        <w:outlineLvl w:val="1"/>
        <w:rPr>
          <w:rFonts w:hint="default" w:ascii="Times New Roman" w:hAnsi="Times New Roman" w:eastAsia="宋体" w:cs="Times New Roman"/>
          <w:b/>
          <w:color w:val="auto"/>
          <w:sz w:val="28"/>
          <w:highlight w:val="none"/>
        </w:rPr>
      </w:pPr>
    </w:p>
    <w:p>
      <w:pPr>
        <w:spacing w:line="360" w:lineRule="auto"/>
        <w:jc w:val="center"/>
        <w:outlineLvl w:val="1"/>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8"/>
          <w:highlight w:val="none"/>
        </w:rPr>
        <w:t>第二章  投标人须知</w:t>
      </w:r>
    </w:p>
    <w:p>
      <w:pPr>
        <w:spacing w:line="360" w:lineRule="auto"/>
        <w:jc w:val="left"/>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一、投标人须知前附表</w:t>
      </w:r>
    </w:p>
    <w:p>
      <w:pPr>
        <w:spacing w:line="360" w:lineRule="auto"/>
        <w:ind w:firstLine="435"/>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b/>
          <w:bCs/>
          <w:color w:val="auto"/>
          <w:sz w:val="24"/>
          <w:szCs w:val="18"/>
          <w:highlight w:val="none"/>
        </w:rPr>
        <w:t>注：</w:t>
      </w:r>
      <w:r>
        <w:rPr>
          <w:rFonts w:hint="default" w:ascii="Times New Roman" w:hAnsi="Times New Roman" w:eastAsia="宋体" w:cs="Times New Roman"/>
          <w:color w:val="auto"/>
          <w:sz w:val="24"/>
          <w:szCs w:val="18"/>
          <w:highlight w:val="none"/>
        </w:rPr>
        <w:t>本表是本项目的具体要求，是对投标人须知的具体补充和修改，如有不一致，以本表为准。</w:t>
      </w:r>
    </w:p>
    <w:tbl>
      <w:tblPr>
        <w:tblStyle w:val="16"/>
        <w:tblW w:w="8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6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20"/>
              <w:widowControl w:val="0"/>
              <w:spacing w:before="0" w:beforeAutospacing="0" w:after="0" w:afterAutospacing="0"/>
              <w:rPr>
                <w:rFonts w:hint="default" w:ascii="Times New Roman" w:hAnsi="Times New Roman" w:eastAsia="宋体" w:cs="Times New Roman"/>
                <w:bCs w:val="0"/>
                <w:color w:val="auto"/>
                <w:kern w:val="2"/>
                <w:sz w:val="24"/>
                <w:szCs w:val="20"/>
                <w:highlight w:val="none"/>
              </w:rPr>
            </w:pPr>
            <w:r>
              <w:rPr>
                <w:rFonts w:hint="default" w:ascii="Times New Roman" w:hAnsi="Times New Roman" w:eastAsia="宋体" w:cs="Times New Roman"/>
                <w:bCs w:val="0"/>
                <w:color w:val="auto"/>
                <w:kern w:val="2"/>
                <w:sz w:val="24"/>
                <w:szCs w:val="20"/>
                <w:highlight w:val="none"/>
              </w:rPr>
              <w:t>条款名称</w:t>
            </w:r>
          </w:p>
        </w:tc>
        <w:tc>
          <w:tcPr>
            <w:tcW w:w="6292" w:type="dxa"/>
            <w:noWrap w:val="0"/>
            <w:vAlign w:val="center"/>
          </w:tcPr>
          <w:p>
            <w:pPr>
              <w:pStyle w:val="20"/>
              <w:widowControl w:val="0"/>
              <w:spacing w:before="0" w:beforeAutospacing="0" w:after="0" w:afterAutospacing="0"/>
              <w:rPr>
                <w:rFonts w:hint="default" w:ascii="Times New Roman" w:hAnsi="Times New Roman" w:eastAsia="宋体" w:cs="Times New Roman"/>
                <w:bCs w:val="0"/>
                <w:color w:val="auto"/>
                <w:kern w:val="2"/>
                <w:sz w:val="24"/>
                <w:szCs w:val="20"/>
                <w:highlight w:val="none"/>
              </w:rPr>
            </w:pPr>
            <w:r>
              <w:rPr>
                <w:rFonts w:hint="default" w:ascii="Times New Roman" w:hAnsi="Times New Roman" w:eastAsia="宋体" w:cs="Times New Roman"/>
                <w:bCs w:val="0"/>
                <w:color w:val="auto"/>
                <w:kern w:val="2"/>
                <w:sz w:val="24"/>
                <w:szCs w:val="20"/>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20"/>
              <w:widowControl w:val="0"/>
              <w:spacing w:before="0" w:beforeAutospacing="0" w:after="0" w:afterAutospacing="0"/>
              <w:jc w:val="left"/>
              <w:rPr>
                <w:rFonts w:hint="default" w:ascii="Times New Roman" w:hAnsi="Times New Roman" w:eastAsia="宋体" w:cs="Times New Roman"/>
                <w:b w:val="0"/>
                <w:bCs w:val="0"/>
                <w:color w:val="auto"/>
                <w:sz w:val="24"/>
                <w:highlight w:val="none"/>
                <w:lang w:eastAsia="zh-CN"/>
              </w:rPr>
            </w:pPr>
            <w:r>
              <w:rPr>
                <w:rFonts w:hint="default" w:ascii="Times New Roman" w:hAnsi="Times New Roman" w:eastAsia="宋体" w:cs="Times New Roman"/>
                <w:b w:val="0"/>
                <w:bCs w:val="0"/>
                <w:color w:val="auto"/>
                <w:sz w:val="24"/>
                <w:highlight w:val="none"/>
                <w:lang w:eastAsia="zh-CN"/>
              </w:rPr>
              <w:t>招标人</w:t>
            </w:r>
          </w:p>
        </w:tc>
        <w:tc>
          <w:tcPr>
            <w:tcW w:w="6292" w:type="dxa"/>
            <w:noWrap w:val="0"/>
            <w:vAlign w:val="center"/>
          </w:tcPr>
          <w:p>
            <w:pPr>
              <w:pStyle w:val="20"/>
              <w:widowControl w:val="0"/>
              <w:spacing w:before="0" w:beforeAutospacing="0" w:after="0" w:afterAutospacing="0"/>
              <w:jc w:val="both"/>
              <w:rPr>
                <w:rFonts w:hint="default" w:ascii="Times New Roman" w:hAnsi="Times New Roman" w:eastAsia="宋体" w:cs="Times New Roman"/>
                <w:b w:val="0"/>
                <w:bCs w:val="0"/>
                <w:color w:val="auto"/>
                <w:kern w:val="2"/>
                <w:sz w:val="24"/>
                <w:szCs w:val="20"/>
                <w:highlight w:val="none"/>
              </w:rPr>
            </w:pPr>
            <w:r>
              <w:rPr>
                <w:rFonts w:hint="default" w:ascii="Times New Roman" w:hAnsi="Times New Roman" w:eastAsia="宋体" w:cs="Times New Roman"/>
                <w:color w:val="auto"/>
                <w:sz w:val="24"/>
                <w:szCs w:val="24"/>
                <w:highlight w:val="none"/>
                <w:u w:val="single"/>
                <w:lang w:val="en-US" w:eastAsia="zh-CN"/>
              </w:rPr>
              <w:t>合肥包河文广产业投资有限公司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20"/>
              <w:widowControl w:val="0"/>
              <w:spacing w:before="0" w:beforeAutospacing="0" w:after="0" w:afterAutospacing="0"/>
              <w:jc w:val="left"/>
              <w:rPr>
                <w:rFonts w:hint="default" w:ascii="Times New Roman" w:hAnsi="Times New Roman" w:eastAsia="宋体" w:cs="Times New Roman"/>
                <w:b w:val="0"/>
                <w:bCs w:val="0"/>
                <w:color w:val="auto"/>
                <w:sz w:val="24"/>
                <w:highlight w:val="none"/>
              </w:rPr>
            </w:pPr>
            <w:r>
              <w:rPr>
                <w:rFonts w:hint="default" w:ascii="Times New Roman" w:hAnsi="Times New Roman" w:eastAsia="宋体" w:cs="Times New Roman"/>
                <w:b w:val="0"/>
                <w:bCs w:val="0"/>
                <w:color w:val="auto"/>
                <w:sz w:val="24"/>
                <w:highlight w:val="none"/>
              </w:rPr>
              <w:t>采购监督管理部门</w:t>
            </w:r>
          </w:p>
        </w:tc>
        <w:tc>
          <w:tcPr>
            <w:tcW w:w="6292" w:type="dxa"/>
            <w:noWrap w:val="0"/>
            <w:vAlign w:val="center"/>
          </w:tcPr>
          <w:p>
            <w:pPr>
              <w:pStyle w:val="20"/>
              <w:widowControl w:val="0"/>
              <w:spacing w:before="0" w:beforeAutospacing="0" w:after="0" w:afterAutospacing="0"/>
              <w:jc w:val="both"/>
              <w:rPr>
                <w:rFonts w:hint="default" w:ascii="Times New Roman" w:hAnsi="Times New Roman" w:eastAsia="宋体" w:cs="Times New Roman"/>
                <w:b w:val="0"/>
                <w:bCs w:val="0"/>
                <w:color w:val="auto"/>
                <w:sz w:val="24"/>
                <w:szCs w:val="18"/>
                <w:highlight w:val="none"/>
                <w:u w:val="single"/>
              </w:rPr>
            </w:pPr>
            <w:r>
              <w:rPr>
                <w:rFonts w:hint="default" w:ascii="Times New Roman" w:hAnsi="Times New Roman" w:eastAsia="宋体" w:cs="Times New Roman"/>
                <w:color w:val="auto"/>
                <w:sz w:val="24"/>
                <w:szCs w:val="24"/>
                <w:highlight w:val="none"/>
                <w:u w:val="single"/>
                <w:lang w:val="en-US" w:eastAsia="zh-CN"/>
              </w:rPr>
              <w:t>合肥包河文广产业投资有限公司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20"/>
              <w:widowControl w:val="0"/>
              <w:spacing w:before="0" w:beforeAutospacing="0" w:after="0" w:afterAutospacing="0"/>
              <w:jc w:val="left"/>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是否允许联合体投标</w:t>
            </w:r>
          </w:p>
        </w:tc>
        <w:tc>
          <w:tcPr>
            <w:tcW w:w="6292" w:type="dxa"/>
            <w:noWrap w:val="0"/>
            <w:vAlign w:val="center"/>
          </w:tcPr>
          <w:p>
            <w:pPr>
              <w:pStyle w:val="20"/>
              <w:widowControl w:val="0"/>
              <w:spacing w:before="0" w:beforeAutospacing="0" w:after="0" w:afterAutospacing="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 xml:space="preserve">□是  </w:t>
            </w:r>
            <w:r>
              <w:rPr>
                <w:rFonts w:hint="default" w:ascii="Times New Roman" w:hAnsi="Times New Roman" w:eastAsia="宋体" w:cs="Times New Roman"/>
                <w:b w:val="0"/>
                <w:bCs w:val="0"/>
                <w:color w:val="auto"/>
                <w:highlight w:val="none"/>
              </w:rPr>
              <w:sym w:font="Wingdings 2" w:char="0052"/>
            </w:r>
            <w:r>
              <w:rPr>
                <w:rFonts w:hint="default" w:ascii="Times New Roman" w:hAnsi="Times New Roman" w:eastAsia="宋体" w:cs="Times New Roman"/>
                <w:b w:val="0"/>
                <w:color w:val="auto"/>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9" w:hRule="atLeast"/>
          <w:jc w:val="center"/>
        </w:trPr>
        <w:tc>
          <w:tcPr>
            <w:tcW w:w="2157" w:type="dxa"/>
            <w:noWrap w:val="0"/>
            <w:vAlign w:val="center"/>
          </w:tcPr>
          <w:p>
            <w:pPr>
              <w:pStyle w:val="20"/>
              <w:widowControl w:val="0"/>
              <w:spacing w:before="0" w:beforeAutospacing="0" w:after="0" w:afterAutospacing="0"/>
              <w:jc w:val="left"/>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现场考察</w:t>
            </w:r>
          </w:p>
        </w:tc>
        <w:tc>
          <w:tcPr>
            <w:tcW w:w="6292" w:type="dxa"/>
            <w:noWrap w:val="0"/>
            <w:vAlign w:val="center"/>
          </w:tcPr>
          <w:p>
            <w:pPr>
              <w:spacing w:line="500" w:lineRule="exact"/>
              <w:rPr>
                <w:rFonts w:hint="default" w:ascii="Times New Roman" w:hAnsi="Times New Roman" w:eastAsia="宋体" w:cs="Times New Roman"/>
                <w:bCs/>
                <w:color w:val="auto"/>
                <w:sz w:val="24"/>
                <w:highlight w:val="none"/>
              </w:rPr>
            </w:pPr>
            <w:r>
              <w:rPr>
                <w:rFonts w:hint="default" w:ascii="Times New Roman" w:hAnsi="Times New Roman" w:eastAsia="宋体" w:cs="Times New Roman"/>
                <w:b/>
                <w:bCs/>
                <w:color w:val="auto"/>
                <w:sz w:val="28"/>
                <w:highlight w:val="none"/>
              </w:rPr>
              <w:sym w:font="Wingdings 2" w:char="0052"/>
            </w:r>
            <w:r>
              <w:rPr>
                <w:rFonts w:hint="default" w:ascii="Times New Roman" w:hAnsi="Times New Roman" w:eastAsia="宋体" w:cs="Times New Roman"/>
                <w:color w:val="auto"/>
                <w:sz w:val="24"/>
                <w:highlight w:val="none"/>
              </w:rPr>
              <w:t>不组织，投标人</w:t>
            </w:r>
            <w:r>
              <w:rPr>
                <w:rFonts w:hint="default" w:ascii="Times New Roman" w:hAnsi="Times New Roman" w:eastAsia="宋体" w:cs="Times New Roman"/>
                <w:bCs/>
                <w:color w:val="auto"/>
                <w:sz w:val="24"/>
                <w:highlight w:val="none"/>
              </w:rPr>
              <w:t>自行考察</w:t>
            </w:r>
          </w:p>
          <w:p>
            <w:pPr>
              <w:spacing w:line="500" w:lineRule="exact"/>
              <w:rPr>
                <w:rFonts w:hint="default" w:ascii="Times New Roman" w:hAnsi="Times New Roman" w:eastAsia="宋体" w:cs="Times New Roman"/>
                <w:bCs/>
                <w:color w:val="auto"/>
                <w:sz w:val="24"/>
                <w:highlight w:val="none"/>
              </w:rPr>
            </w:pPr>
            <w:r>
              <w:rPr>
                <w:rFonts w:hint="default" w:ascii="Times New Roman" w:hAnsi="Times New Roman" w:eastAsia="宋体" w:cs="Times New Roman"/>
                <w:color w:val="auto"/>
                <w:sz w:val="24"/>
                <w:highlight w:val="none"/>
              </w:rPr>
              <w:t>□</w:t>
            </w:r>
            <w:r>
              <w:rPr>
                <w:rFonts w:hint="default" w:ascii="Times New Roman" w:hAnsi="Times New Roman" w:eastAsia="宋体" w:cs="Times New Roman"/>
                <w:bCs/>
                <w:color w:val="auto"/>
                <w:sz w:val="24"/>
                <w:highlight w:val="none"/>
              </w:rPr>
              <w:t>统一组织</w:t>
            </w:r>
          </w:p>
          <w:p>
            <w:pPr>
              <w:spacing w:line="500" w:lineRule="exact"/>
              <w:rPr>
                <w:rFonts w:hint="default" w:ascii="Times New Roman" w:hAnsi="Times New Roman" w:eastAsia="宋体" w:cs="Times New Roman"/>
                <w:bCs/>
                <w:color w:val="auto"/>
                <w:sz w:val="24"/>
                <w:highlight w:val="none"/>
                <w:u w:val="single"/>
              </w:rPr>
            </w:pPr>
            <w:r>
              <w:rPr>
                <w:rFonts w:hint="default" w:ascii="Times New Roman" w:hAnsi="Times New Roman" w:eastAsia="宋体" w:cs="Times New Roman"/>
                <w:bCs/>
                <w:color w:val="auto"/>
                <w:sz w:val="24"/>
                <w:highlight w:val="none"/>
              </w:rPr>
              <w:t>时间：</w:t>
            </w:r>
            <w:r>
              <w:rPr>
                <w:rFonts w:hint="default" w:ascii="Times New Roman" w:hAnsi="Times New Roman" w:eastAsia="宋体" w:cs="Times New Roman"/>
                <w:bCs/>
                <w:color w:val="auto"/>
                <w:sz w:val="24"/>
                <w:highlight w:val="none"/>
                <w:u w:val="single"/>
              </w:rPr>
              <w:t xml:space="preserve">    </w:t>
            </w:r>
            <w:r>
              <w:rPr>
                <w:rFonts w:hint="default" w:ascii="Times New Roman" w:hAnsi="Times New Roman" w:eastAsia="宋体" w:cs="Times New Roman"/>
                <w:bCs/>
                <w:color w:val="auto"/>
                <w:sz w:val="24"/>
                <w:highlight w:val="none"/>
              </w:rPr>
              <w:t>年</w:t>
            </w:r>
            <w:r>
              <w:rPr>
                <w:rFonts w:hint="default" w:ascii="Times New Roman" w:hAnsi="Times New Roman" w:eastAsia="宋体" w:cs="Times New Roman"/>
                <w:bCs/>
                <w:color w:val="auto"/>
                <w:sz w:val="24"/>
                <w:highlight w:val="none"/>
                <w:u w:val="single"/>
              </w:rPr>
              <w:t xml:space="preserve">  </w:t>
            </w:r>
            <w:r>
              <w:rPr>
                <w:rFonts w:hint="default" w:ascii="Times New Roman" w:hAnsi="Times New Roman" w:eastAsia="宋体" w:cs="Times New Roman"/>
                <w:bCs/>
                <w:color w:val="auto"/>
                <w:sz w:val="24"/>
                <w:highlight w:val="none"/>
              </w:rPr>
              <w:t>月</w:t>
            </w:r>
            <w:r>
              <w:rPr>
                <w:rFonts w:hint="default" w:ascii="Times New Roman" w:hAnsi="Times New Roman" w:eastAsia="宋体" w:cs="Times New Roman"/>
                <w:bCs/>
                <w:color w:val="auto"/>
                <w:sz w:val="24"/>
                <w:highlight w:val="none"/>
                <w:u w:val="single"/>
              </w:rPr>
              <w:t xml:space="preserve">  </w:t>
            </w:r>
            <w:r>
              <w:rPr>
                <w:rFonts w:hint="default" w:ascii="Times New Roman" w:hAnsi="Times New Roman" w:eastAsia="宋体" w:cs="Times New Roman"/>
                <w:bCs/>
                <w:color w:val="auto"/>
                <w:sz w:val="24"/>
                <w:highlight w:val="none"/>
              </w:rPr>
              <w:t>日</w:t>
            </w:r>
            <w:r>
              <w:rPr>
                <w:rFonts w:hint="default" w:ascii="Times New Roman" w:hAnsi="Times New Roman" w:eastAsia="宋体" w:cs="Times New Roman"/>
                <w:bCs/>
                <w:color w:val="auto"/>
                <w:sz w:val="24"/>
                <w:highlight w:val="none"/>
                <w:u w:val="single"/>
              </w:rPr>
              <w:t xml:space="preserve">  </w:t>
            </w:r>
            <w:r>
              <w:rPr>
                <w:rFonts w:hint="default" w:ascii="Times New Roman" w:hAnsi="Times New Roman" w:eastAsia="宋体" w:cs="Times New Roman"/>
                <w:bCs/>
                <w:color w:val="auto"/>
                <w:sz w:val="24"/>
                <w:highlight w:val="none"/>
              </w:rPr>
              <w:t>时</w:t>
            </w:r>
            <w:r>
              <w:rPr>
                <w:rFonts w:hint="default" w:ascii="Times New Roman" w:hAnsi="Times New Roman" w:eastAsia="宋体" w:cs="Times New Roman"/>
                <w:bCs/>
                <w:color w:val="auto"/>
                <w:sz w:val="24"/>
                <w:highlight w:val="none"/>
                <w:u w:val="single"/>
              </w:rPr>
              <w:t xml:space="preserve">  </w:t>
            </w:r>
            <w:r>
              <w:rPr>
                <w:rFonts w:hint="default" w:ascii="Times New Roman" w:hAnsi="Times New Roman" w:eastAsia="宋体" w:cs="Times New Roman"/>
                <w:bCs/>
                <w:color w:val="auto"/>
                <w:sz w:val="24"/>
                <w:highlight w:val="none"/>
              </w:rPr>
              <w:t>分</w:t>
            </w:r>
          </w:p>
          <w:p>
            <w:pPr>
              <w:spacing w:line="500" w:lineRule="exact"/>
              <w:rPr>
                <w:rFonts w:hint="default" w:ascii="Times New Roman" w:hAnsi="Times New Roman" w:eastAsia="宋体" w:cs="Times New Roman"/>
                <w:bCs/>
                <w:color w:val="auto"/>
                <w:sz w:val="24"/>
                <w:highlight w:val="none"/>
                <w:u w:val="single"/>
              </w:rPr>
            </w:pPr>
            <w:r>
              <w:rPr>
                <w:rFonts w:hint="default" w:ascii="Times New Roman" w:hAnsi="Times New Roman" w:eastAsia="宋体" w:cs="Times New Roman"/>
                <w:bCs/>
                <w:color w:val="auto"/>
                <w:sz w:val="24"/>
                <w:highlight w:val="none"/>
              </w:rPr>
              <w:t>地点：</w:t>
            </w:r>
            <w:r>
              <w:rPr>
                <w:rFonts w:hint="default" w:ascii="Times New Roman" w:hAnsi="Times New Roman" w:eastAsia="宋体" w:cs="Times New Roman"/>
                <w:bCs/>
                <w:color w:val="auto"/>
                <w:sz w:val="24"/>
                <w:highlight w:val="none"/>
                <w:u w:val="single"/>
              </w:rPr>
              <w:t xml:space="preserve">                       </w:t>
            </w:r>
          </w:p>
          <w:p>
            <w:pPr>
              <w:spacing w:line="500" w:lineRule="exact"/>
              <w:rPr>
                <w:rFonts w:hint="default" w:ascii="Times New Roman" w:hAnsi="Times New Roman" w:eastAsia="宋体" w:cs="Times New Roman"/>
                <w:bCs/>
                <w:color w:val="auto"/>
                <w:sz w:val="24"/>
                <w:highlight w:val="none"/>
                <w:u w:val="single"/>
              </w:rPr>
            </w:pPr>
            <w:r>
              <w:rPr>
                <w:rFonts w:hint="default" w:ascii="Times New Roman" w:hAnsi="Times New Roman" w:eastAsia="宋体" w:cs="Times New Roman"/>
                <w:bCs/>
                <w:color w:val="auto"/>
                <w:sz w:val="24"/>
                <w:highlight w:val="none"/>
              </w:rPr>
              <w:t>现场考察联系人及联系电话：</w:t>
            </w:r>
            <w:r>
              <w:rPr>
                <w:rFonts w:hint="default" w:ascii="Times New Roman" w:hAnsi="Times New Roman" w:eastAsia="宋体" w:cs="Times New Roman"/>
                <w:bCs/>
                <w:color w:val="auto"/>
                <w:sz w:val="24"/>
                <w:highlight w:val="none"/>
                <w:u w:val="single"/>
              </w:rPr>
              <w:t xml:space="preserve">           </w:t>
            </w:r>
          </w:p>
          <w:p>
            <w:pPr>
              <w:pStyle w:val="20"/>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Cs w:val="0"/>
                <w:color w:val="auto"/>
                <w:sz w:val="24"/>
                <w:highlight w:val="none"/>
              </w:rPr>
              <w:t>备注：如投标人未参加</w:t>
            </w:r>
            <w:r>
              <w:rPr>
                <w:rFonts w:hint="default" w:ascii="Times New Roman" w:hAnsi="Times New Roman" w:eastAsia="宋体" w:cs="Times New Roman"/>
                <w:bCs w:val="0"/>
                <w:color w:val="auto"/>
                <w:sz w:val="24"/>
                <w:highlight w:val="none"/>
                <w:lang w:eastAsia="zh-CN"/>
              </w:rPr>
              <w:t>招标人</w:t>
            </w:r>
            <w:r>
              <w:rPr>
                <w:rFonts w:hint="default" w:ascii="Times New Roman" w:hAnsi="Times New Roman" w:eastAsia="宋体" w:cs="Times New Roman"/>
                <w:bCs w:val="0"/>
                <w:color w:val="auto"/>
                <w:sz w:val="24"/>
                <w:highlight w:val="none"/>
              </w:rPr>
              <w:t>统一组织的现场考察，视同放弃现场考察，由此引起的一切责任由投标人自行承担。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20"/>
              <w:widowControl w:val="0"/>
              <w:spacing w:before="0" w:beforeAutospacing="0" w:after="0" w:afterAutospacing="0"/>
              <w:jc w:val="left"/>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包别划分</w:t>
            </w:r>
          </w:p>
        </w:tc>
        <w:tc>
          <w:tcPr>
            <w:tcW w:w="6292" w:type="dxa"/>
            <w:noWrap w:val="0"/>
            <w:vAlign w:val="center"/>
          </w:tcPr>
          <w:p>
            <w:pPr>
              <w:pStyle w:val="20"/>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bCs w:val="0"/>
                <w:color w:val="auto"/>
                <w:highlight w:val="none"/>
              </w:rPr>
              <w:sym w:font="Wingdings 2" w:char="F052"/>
            </w:r>
            <w:r>
              <w:rPr>
                <w:rFonts w:hint="default" w:ascii="Times New Roman" w:hAnsi="Times New Roman" w:eastAsia="宋体" w:cs="Times New Roman"/>
                <w:b w:val="0"/>
                <w:color w:val="auto"/>
                <w:sz w:val="24"/>
                <w:highlight w:val="none"/>
              </w:rPr>
              <w:t>不分包     □分为  个包</w:t>
            </w:r>
          </w:p>
          <w:p>
            <w:pPr>
              <w:pStyle w:val="20"/>
              <w:widowControl w:val="0"/>
              <w:spacing w:before="0" w:beforeAutospacing="0" w:after="0" w:afterAutospacing="0"/>
              <w:jc w:val="both"/>
              <w:rPr>
                <w:rFonts w:hint="default" w:ascii="Times New Roman" w:hAnsi="Times New Roman" w:eastAsia="宋体" w:cs="Times New Roman"/>
                <w:b w:val="0"/>
                <w:color w:val="auto"/>
                <w:sz w:val="24"/>
                <w:highlight w:val="none"/>
                <w:u w:val="single"/>
              </w:rPr>
            </w:pPr>
            <w:r>
              <w:rPr>
                <w:rFonts w:hint="default" w:ascii="Times New Roman" w:hAnsi="Times New Roman" w:eastAsia="宋体" w:cs="Times New Roman"/>
                <w:b w:val="0"/>
                <w:color w:val="auto"/>
                <w:sz w:val="24"/>
                <w:highlight w:val="none"/>
              </w:rPr>
              <w:t>投标人对多个包进行投标的中标包数规定：</w:t>
            </w:r>
            <w:r>
              <w:rPr>
                <w:rFonts w:hint="default" w:ascii="Times New Roman" w:hAnsi="Times New Roman" w:eastAsia="宋体" w:cs="Times New Roman"/>
                <w:b w:val="0"/>
                <w:bCs w:val="0"/>
                <w:color w:val="auto"/>
                <w:sz w:val="24"/>
                <w:szCs w:val="1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157" w:type="dxa"/>
            <w:noWrap w:val="0"/>
            <w:vAlign w:val="center"/>
          </w:tcPr>
          <w:p>
            <w:pPr>
              <w:pStyle w:val="20"/>
              <w:widowControl w:val="0"/>
              <w:spacing w:before="0" w:beforeAutospacing="0" w:after="0" w:afterAutospacing="0" w:line="360" w:lineRule="auto"/>
              <w:jc w:val="left"/>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投标保证金</w:t>
            </w:r>
          </w:p>
        </w:tc>
        <w:tc>
          <w:tcPr>
            <w:tcW w:w="6292" w:type="dxa"/>
            <w:noWrap w:val="0"/>
            <w:vAlign w:val="center"/>
          </w:tcPr>
          <w:p>
            <w:pPr>
              <w:spacing w:line="360" w:lineRule="auto"/>
              <w:jc w:val="left"/>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20"/>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投标有效期</w:t>
            </w:r>
          </w:p>
        </w:tc>
        <w:tc>
          <w:tcPr>
            <w:tcW w:w="6292" w:type="dxa"/>
            <w:noWrap w:val="0"/>
            <w:vAlign w:val="center"/>
          </w:tcPr>
          <w:p>
            <w:pPr>
              <w:pStyle w:val="20"/>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eastAsia" w:ascii="Times New Roman" w:hAnsi="Times New Roman" w:eastAsia="宋体" w:cs="Times New Roman"/>
                <w:b w:val="0"/>
                <w:color w:val="auto"/>
                <w:sz w:val="24"/>
                <w:highlight w:val="none"/>
                <w:u w:val="single"/>
                <w:lang w:val="en-US" w:eastAsia="zh-CN"/>
              </w:rPr>
              <w:t>120</w:t>
            </w:r>
            <w:r>
              <w:rPr>
                <w:rFonts w:hint="default" w:ascii="Times New Roman" w:hAnsi="Times New Roman" w:eastAsia="宋体" w:cs="Times New Roman"/>
                <w:b w:val="0"/>
                <w:color w:val="auto"/>
                <w:sz w:val="24"/>
                <w:highlight w:val="none"/>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20"/>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投标文件要求</w:t>
            </w:r>
          </w:p>
        </w:tc>
        <w:tc>
          <w:tcPr>
            <w:tcW w:w="6292" w:type="dxa"/>
            <w:noWrap w:val="0"/>
            <w:vAlign w:val="center"/>
          </w:tcPr>
          <w:p>
            <w:pPr>
              <w:pStyle w:val="20"/>
              <w:widowControl w:val="0"/>
              <w:spacing w:before="0" w:beforeAutospacing="0" w:after="0" w:afterAutospacing="0" w:line="360" w:lineRule="auto"/>
              <w:jc w:val="both"/>
              <w:rPr>
                <w:rFonts w:hint="default" w:ascii="Times New Roman" w:hAnsi="Times New Roman" w:eastAsia="宋体" w:cs="Times New Roman"/>
                <w:bCs w:val="0"/>
                <w:color w:val="auto"/>
                <w:sz w:val="24"/>
                <w:highlight w:val="none"/>
              </w:rPr>
            </w:pPr>
            <w:r>
              <w:rPr>
                <w:rFonts w:hint="default" w:ascii="Times New Roman" w:hAnsi="Times New Roman" w:eastAsia="宋体" w:cs="Times New Roman"/>
                <w:bCs w:val="0"/>
                <w:color w:val="auto"/>
                <w:sz w:val="24"/>
                <w:highlight w:val="none"/>
              </w:rPr>
              <w:t>纸质版投标文件（建议</w:t>
            </w:r>
            <w:r>
              <w:rPr>
                <w:rFonts w:hint="eastAsia" w:ascii="Times New Roman" w:hAnsi="Times New Roman" w:eastAsia="宋体" w:cs="Times New Roman"/>
                <w:bCs w:val="0"/>
                <w:color w:val="auto"/>
                <w:sz w:val="24"/>
                <w:highlight w:val="none"/>
                <w:lang w:val="en-US" w:eastAsia="zh-CN"/>
              </w:rPr>
              <w:t>双面打印</w:t>
            </w:r>
            <w:r>
              <w:rPr>
                <w:rFonts w:hint="default" w:ascii="Times New Roman" w:hAnsi="Times New Roman" w:eastAsia="宋体" w:cs="Times New Roman"/>
                <w:bCs w:val="0"/>
                <w:color w:val="auto"/>
                <w:sz w:val="24"/>
                <w:highlight w:val="none"/>
              </w:rPr>
              <w:t>胶装成册）：</w:t>
            </w:r>
          </w:p>
          <w:p>
            <w:pPr>
              <w:pStyle w:val="20"/>
              <w:widowControl w:val="0"/>
              <w:spacing w:before="0" w:beforeAutospacing="0" w:after="0" w:afterAutospacing="0" w:line="360" w:lineRule="auto"/>
              <w:jc w:val="both"/>
              <w:rPr>
                <w:rFonts w:hint="default" w:ascii="Times New Roman" w:hAnsi="Times New Roman" w:eastAsia="宋体" w:cs="Times New Roman"/>
                <w:bCs w:val="0"/>
                <w:color w:val="auto"/>
                <w:sz w:val="24"/>
                <w:highlight w:val="none"/>
              </w:rPr>
            </w:pPr>
            <w:r>
              <w:rPr>
                <w:rFonts w:hint="default" w:ascii="Times New Roman" w:hAnsi="Times New Roman" w:eastAsia="宋体" w:cs="Times New Roman"/>
                <w:bCs w:val="0"/>
                <w:color w:val="auto"/>
                <w:sz w:val="24"/>
                <w:highlight w:val="none"/>
              </w:rPr>
              <w:t>正本</w:t>
            </w:r>
            <w:r>
              <w:rPr>
                <w:rFonts w:hint="default" w:ascii="Times New Roman" w:hAnsi="Times New Roman" w:eastAsia="宋体" w:cs="Times New Roman"/>
                <w:bCs w:val="0"/>
                <w:color w:val="auto"/>
                <w:sz w:val="24"/>
                <w:highlight w:val="none"/>
                <w:u w:val="single"/>
              </w:rPr>
              <w:t>1</w:t>
            </w:r>
            <w:r>
              <w:rPr>
                <w:rFonts w:hint="default" w:ascii="Times New Roman" w:hAnsi="Times New Roman" w:eastAsia="宋体" w:cs="Times New Roman"/>
                <w:bCs w:val="0"/>
                <w:color w:val="auto"/>
                <w:sz w:val="24"/>
                <w:highlight w:val="none"/>
              </w:rPr>
              <w:t>份；副本</w:t>
            </w:r>
            <w:r>
              <w:rPr>
                <w:rFonts w:hint="default" w:ascii="Times New Roman" w:hAnsi="Times New Roman" w:eastAsia="宋体" w:cs="Times New Roman"/>
                <w:bCs w:val="0"/>
                <w:color w:val="auto"/>
                <w:sz w:val="24"/>
                <w:highlight w:val="none"/>
                <w:lang w:val="en-US" w:eastAsia="zh-CN"/>
              </w:rPr>
              <w:t>2</w:t>
            </w:r>
            <w:r>
              <w:rPr>
                <w:rFonts w:hint="default" w:ascii="Times New Roman" w:hAnsi="Times New Roman" w:eastAsia="宋体" w:cs="Times New Roman"/>
                <w:bCs w:val="0"/>
                <w:color w:val="auto"/>
                <w:sz w:val="24"/>
                <w:highlight w:val="none"/>
              </w:rPr>
              <w:t>份。</w:t>
            </w:r>
          </w:p>
          <w:p>
            <w:pPr>
              <w:pStyle w:val="20"/>
              <w:widowControl w:val="0"/>
              <w:spacing w:before="0" w:beforeAutospacing="0" w:after="0" w:afterAutospacing="0" w:line="360" w:lineRule="auto"/>
              <w:jc w:val="both"/>
              <w:rPr>
                <w:rFonts w:hint="default" w:ascii="Times New Roman" w:hAnsi="Times New Roman" w:eastAsia="宋体" w:cs="Times New Roman"/>
                <w:bCs w:val="0"/>
                <w:color w:val="auto"/>
                <w:sz w:val="24"/>
                <w:highlight w:val="none"/>
              </w:rPr>
            </w:pPr>
            <w:r>
              <w:rPr>
                <w:rFonts w:hint="default" w:ascii="Times New Roman" w:hAnsi="Times New Roman" w:eastAsia="宋体" w:cs="Times New Roman"/>
                <w:bCs w:val="0"/>
                <w:color w:val="auto"/>
                <w:sz w:val="24"/>
                <w:highlight w:val="none"/>
              </w:rPr>
              <w:t>电子版投标文件（仅作为存档使用，不作为否决条款，要求与纸质版文件一致）：U盘或光盘</w:t>
            </w:r>
            <w:r>
              <w:rPr>
                <w:rFonts w:hint="default" w:ascii="Times New Roman" w:hAnsi="Times New Roman" w:eastAsia="宋体" w:cs="Times New Roman"/>
                <w:bCs w:val="0"/>
                <w:color w:val="auto"/>
                <w:sz w:val="24"/>
                <w:highlight w:val="none"/>
                <w:u w:val="single"/>
              </w:rPr>
              <w:t>1</w:t>
            </w:r>
            <w:r>
              <w:rPr>
                <w:rFonts w:hint="default" w:ascii="Times New Roman" w:hAnsi="Times New Roman" w:eastAsia="宋体" w:cs="Times New Roman"/>
                <w:bCs w:val="0"/>
                <w:color w:val="auto"/>
                <w:sz w:val="24"/>
                <w:highlight w:val="none"/>
              </w:rPr>
              <w:t>份（加盖公章后完整版投标文件扫描件-PDF版）。</w:t>
            </w:r>
          </w:p>
          <w:p>
            <w:pPr>
              <w:pStyle w:val="20"/>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Cs w:val="0"/>
                <w:color w:val="auto"/>
                <w:sz w:val="24"/>
                <w:highlight w:val="none"/>
              </w:rPr>
              <w:t>以上文件均密封提交。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157" w:type="dxa"/>
            <w:noWrap w:val="0"/>
            <w:vAlign w:val="center"/>
          </w:tcPr>
          <w:p>
            <w:pPr>
              <w:pStyle w:val="20"/>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开标现场提交的其他材料要求</w:t>
            </w:r>
          </w:p>
        </w:tc>
        <w:tc>
          <w:tcPr>
            <w:tcW w:w="6292" w:type="dxa"/>
            <w:noWrap w:val="0"/>
            <w:vAlign w:val="center"/>
          </w:tcPr>
          <w:p>
            <w:pPr>
              <w:pStyle w:val="20"/>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u w:val="single"/>
              </w:rPr>
            </w:pPr>
            <w:r>
              <w:rPr>
                <w:rFonts w:hint="default" w:ascii="Times New Roman" w:hAnsi="Times New Roman" w:eastAsia="宋体" w:cs="Times New Roman"/>
                <w:b w:val="0"/>
                <w:bCs w:val="0"/>
                <w:color w:val="auto"/>
                <w:sz w:val="24"/>
                <w:szCs w:val="18"/>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20"/>
              <w:widowControl w:val="0"/>
              <w:spacing w:before="0" w:beforeAutospacing="0" w:after="0" w:afterAutospacing="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投标截止时间及地点</w:t>
            </w:r>
          </w:p>
        </w:tc>
        <w:tc>
          <w:tcPr>
            <w:tcW w:w="6292" w:type="dxa"/>
            <w:noWrap w:val="0"/>
            <w:vAlign w:val="center"/>
          </w:tcPr>
          <w:p>
            <w:pPr>
              <w:pStyle w:val="20"/>
              <w:widowControl w:val="0"/>
              <w:spacing w:before="0" w:beforeAutospacing="0" w:after="0" w:afterAutospacing="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投标截止时间：</w:t>
            </w:r>
            <w:r>
              <w:rPr>
                <w:rFonts w:hint="default" w:ascii="Times New Roman" w:hAnsi="Times New Roman" w:eastAsia="宋体" w:cs="Times New Roman"/>
                <w:b w:val="0"/>
                <w:color w:val="auto"/>
                <w:sz w:val="24"/>
                <w:highlight w:val="none"/>
                <w:u w:val="single"/>
              </w:rPr>
              <w:t>详见投标邀请</w:t>
            </w:r>
          </w:p>
          <w:p>
            <w:pPr>
              <w:pStyle w:val="20"/>
              <w:widowControl w:val="0"/>
              <w:spacing w:before="0" w:beforeAutospacing="0" w:after="0" w:afterAutospacing="0"/>
              <w:jc w:val="both"/>
              <w:rPr>
                <w:rFonts w:hint="default" w:ascii="Times New Roman" w:hAnsi="Times New Roman" w:eastAsia="宋体" w:cs="Times New Roman"/>
                <w:b w:val="0"/>
                <w:color w:val="auto"/>
                <w:sz w:val="24"/>
                <w:highlight w:val="none"/>
                <w:u w:val="single"/>
              </w:rPr>
            </w:pPr>
            <w:r>
              <w:rPr>
                <w:rFonts w:hint="default" w:ascii="Times New Roman" w:hAnsi="Times New Roman" w:eastAsia="宋体" w:cs="Times New Roman"/>
                <w:b w:val="0"/>
                <w:color w:val="auto"/>
                <w:sz w:val="24"/>
                <w:highlight w:val="none"/>
              </w:rPr>
              <w:t>投标文件递交地点：</w:t>
            </w:r>
            <w:r>
              <w:rPr>
                <w:rFonts w:hint="default" w:ascii="Times New Roman" w:hAnsi="Times New Roman" w:eastAsia="宋体" w:cs="Times New Roman"/>
                <w:b w:val="0"/>
                <w:color w:val="auto"/>
                <w:sz w:val="24"/>
                <w:highlight w:val="none"/>
                <w:u w:val="single"/>
              </w:rPr>
              <w:t>同开标地点</w:t>
            </w:r>
          </w:p>
          <w:p>
            <w:pPr>
              <w:pStyle w:val="20"/>
              <w:widowControl w:val="0"/>
              <w:spacing w:before="0" w:beforeAutospacing="0" w:after="0" w:afterAutospacing="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投标文件接收时间：</w:t>
            </w:r>
            <w:r>
              <w:rPr>
                <w:rFonts w:hint="default" w:ascii="Times New Roman" w:hAnsi="Times New Roman" w:eastAsia="宋体" w:cs="Times New Roman"/>
                <w:b w:val="0"/>
                <w:color w:val="auto"/>
                <w:sz w:val="24"/>
                <w:highlight w:val="none"/>
                <w:u w:val="single"/>
              </w:rPr>
              <w:t>自投标截止时间前60分钟至投标截止时间止。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20"/>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开标时间</w:t>
            </w:r>
          </w:p>
        </w:tc>
        <w:tc>
          <w:tcPr>
            <w:tcW w:w="6292" w:type="dxa"/>
            <w:noWrap w:val="0"/>
            <w:vAlign w:val="center"/>
          </w:tcPr>
          <w:p>
            <w:pPr>
              <w:pStyle w:val="20"/>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u w:val="single"/>
              </w:rPr>
              <w:t>详见投标邀请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20"/>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开标地点</w:t>
            </w:r>
          </w:p>
        </w:tc>
        <w:tc>
          <w:tcPr>
            <w:tcW w:w="6292" w:type="dxa"/>
            <w:noWrap w:val="0"/>
            <w:vAlign w:val="center"/>
          </w:tcPr>
          <w:p>
            <w:pPr>
              <w:pStyle w:val="20"/>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u w:val="single"/>
              </w:rPr>
              <w:t>详见投标邀请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20"/>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资格审查</w:t>
            </w:r>
          </w:p>
        </w:tc>
        <w:tc>
          <w:tcPr>
            <w:tcW w:w="6292" w:type="dxa"/>
            <w:noWrap w:val="0"/>
            <w:vAlign w:val="center"/>
          </w:tcPr>
          <w:p>
            <w:pPr>
              <w:pStyle w:val="20"/>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u w:val="single"/>
              </w:rPr>
            </w:pPr>
            <w:r>
              <w:rPr>
                <w:rFonts w:hint="default" w:ascii="Times New Roman" w:hAnsi="Times New Roman" w:eastAsia="宋体" w:cs="Times New Roman"/>
                <w:b w:val="0"/>
                <w:bCs w:val="0"/>
                <w:color w:val="auto"/>
                <w:sz w:val="24"/>
                <w:szCs w:val="24"/>
                <w:highlight w:val="none"/>
              </w:rPr>
              <w:t>评标委员会</w:t>
            </w:r>
            <w:r>
              <w:rPr>
                <w:rFonts w:hint="default" w:ascii="Times New Roman" w:hAnsi="Times New Roman" w:eastAsia="宋体" w:cs="Times New Roman"/>
                <w:b w:val="0"/>
                <w:bCs w:val="0"/>
                <w:color w:val="auto"/>
                <w:sz w:val="24"/>
                <w:highlight w:val="none"/>
              </w:rPr>
              <w:t>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20"/>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lang w:val="en-US" w:eastAsia="zh-CN"/>
              </w:rPr>
            </w:pPr>
            <w:r>
              <w:rPr>
                <w:rFonts w:hint="default" w:ascii="Times New Roman" w:hAnsi="Times New Roman" w:eastAsia="宋体" w:cs="Times New Roman"/>
                <w:b w:val="0"/>
                <w:color w:val="auto"/>
                <w:sz w:val="24"/>
                <w:highlight w:val="none"/>
                <w:lang w:val="en-US" w:eastAsia="zh-CN"/>
              </w:rPr>
              <w:t>报价方式</w:t>
            </w:r>
          </w:p>
        </w:tc>
        <w:tc>
          <w:tcPr>
            <w:tcW w:w="6292" w:type="dxa"/>
            <w:noWrap w:val="0"/>
            <w:vAlign w:val="center"/>
          </w:tcPr>
          <w:p>
            <w:pPr>
              <w:pStyle w:val="20"/>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lang w:val="en-US" w:eastAsia="zh-CN"/>
              </w:rPr>
            </w:pPr>
            <w:r>
              <w:rPr>
                <w:rFonts w:hint="default" w:ascii="Times New Roman" w:hAnsi="Times New Roman" w:eastAsia="宋体" w:cs="Times New Roman"/>
                <w:b/>
                <w:bCs w:val="0"/>
                <w:color w:val="auto"/>
                <w:sz w:val="24"/>
                <w:highlight w:val="none"/>
                <w:lang w:val="en-US" w:eastAsia="zh-CN"/>
              </w:rPr>
              <w:t>总价报价，详见投标文件格式要求。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20"/>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评标方法</w:t>
            </w:r>
          </w:p>
        </w:tc>
        <w:tc>
          <w:tcPr>
            <w:tcW w:w="6292" w:type="dxa"/>
            <w:noWrap w:val="0"/>
            <w:vAlign w:val="center"/>
          </w:tcPr>
          <w:p>
            <w:pPr>
              <w:pStyle w:val="20"/>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u w:val="single"/>
              </w:rPr>
            </w:pPr>
            <w:r>
              <w:rPr>
                <w:rFonts w:hint="default" w:ascii="Times New Roman" w:hAnsi="Times New Roman" w:eastAsia="宋体" w:cs="Times New Roman"/>
                <w:b w:val="0"/>
                <w:bCs w:val="0"/>
                <w:color w:val="auto"/>
                <w:sz w:val="24"/>
                <w:szCs w:val="24"/>
                <w:highlight w:val="none"/>
              </w:rPr>
              <w:sym w:font="Wingdings 2" w:char="00A3"/>
            </w:r>
            <w:r>
              <w:rPr>
                <w:rFonts w:hint="default" w:ascii="Times New Roman" w:hAnsi="Times New Roman" w:eastAsia="宋体" w:cs="Times New Roman"/>
                <w:b w:val="0"/>
                <w:color w:val="auto"/>
                <w:sz w:val="24"/>
                <w:highlight w:val="none"/>
                <w:u w:val="single"/>
              </w:rPr>
              <w:t>最低评标价法</w:t>
            </w:r>
          </w:p>
          <w:p>
            <w:pPr>
              <w:pStyle w:val="20"/>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bCs w:val="0"/>
                <w:color w:val="auto"/>
                <w:sz w:val="24"/>
                <w:szCs w:val="24"/>
                <w:highlight w:val="none"/>
              </w:rPr>
              <w:sym w:font="Wingdings 2" w:char="0052"/>
            </w:r>
            <w:r>
              <w:rPr>
                <w:rFonts w:hint="default" w:ascii="Times New Roman" w:hAnsi="Times New Roman" w:eastAsia="宋体" w:cs="Times New Roman"/>
                <w:b w:val="0"/>
                <w:color w:val="auto"/>
                <w:sz w:val="24"/>
                <w:highlight w:val="none"/>
                <w:u w:val="singl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2157" w:type="dxa"/>
            <w:noWrap w:val="0"/>
            <w:vAlign w:val="center"/>
          </w:tcPr>
          <w:p>
            <w:pPr>
              <w:pStyle w:val="20"/>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评标委员会推荐中标候选人的数量</w:t>
            </w:r>
          </w:p>
        </w:tc>
        <w:tc>
          <w:tcPr>
            <w:tcW w:w="6292" w:type="dxa"/>
            <w:noWrap w:val="0"/>
            <w:vAlign w:val="center"/>
          </w:tcPr>
          <w:p>
            <w:pPr>
              <w:pStyle w:val="20"/>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u w:val="single"/>
              </w:rPr>
            </w:pPr>
            <w:r>
              <w:rPr>
                <w:rFonts w:hint="eastAsia" w:ascii="Times New Roman" w:hAnsi="Times New Roman" w:eastAsia="宋体" w:cs="Times New Roman"/>
                <w:b w:val="0"/>
                <w:color w:val="auto"/>
                <w:sz w:val="24"/>
                <w:highlight w:val="none"/>
                <w:u w:val="single"/>
                <w:lang w:val="en-US" w:eastAsia="zh-CN"/>
              </w:rPr>
              <w:t>第一中标候选人</w:t>
            </w:r>
            <w:r>
              <w:rPr>
                <w:rFonts w:hint="default" w:ascii="Times New Roman" w:hAnsi="Times New Roman" w:eastAsia="宋体" w:cs="Times New Roman"/>
                <w:b w:val="0"/>
                <w:color w:val="auto"/>
                <w:sz w:val="24"/>
                <w:highlight w:val="none"/>
                <w:u w:val="single"/>
                <w:lang w:val="en-US" w:eastAsia="zh-CN"/>
              </w:rPr>
              <w:t>1</w:t>
            </w:r>
            <w:r>
              <w:rPr>
                <w:rFonts w:hint="default" w:ascii="Times New Roman" w:hAnsi="Times New Roman" w:eastAsia="宋体" w:cs="Times New Roman"/>
                <w:b w:val="0"/>
                <w:color w:val="auto"/>
                <w:sz w:val="24"/>
                <w:highlight w:val="none"/>
                <w:u w:val="single"/>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20"/>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确定中标人</w:t>
            </w:r>
          </w:p>
        </w:tc>
        <w:tc>
          <w:tcPr>
            <w:tcW w:w="6292" w:type="dxa"/>
            <w:noWrap w:val="0"/>
            <w:vAlign w:val="center"/>
          </w:tcPr>
          <w:p>
            <w:pPr>
              <w:pStyle w:val="20"/>
              <w:widowControl w:val="0"/>
              <w:spacing w:before="0" w:beforeAutospacing="0" w:after="0" w:afterAutospacing="0" w:line="360" w:lineRule="auto"/>
              <w:jc w:val="both"/>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highlight w:val="none"/>
              </w:rPr>
              <w:sym w:font="Wingdings 2" w:char="F052"/>
            </w:r>
            <w:r>
              <w:rPr>
                <w:rFonts w:hint="default" w:ascii="Times New Roman" w:hAnsi="Times New Roman" w:eastAsia="宋体" w:cs="Times New Roman"/>
                <w:b w:val="0"/>
                <w:bCs w:val="0"/>
                <w:color w:val="auto"/>
                <w:sz w:val="24"/>
                <w:szCs w:val="24"/>
                <w:highlight w:val="none"/>
                <w:lang w:eastAsia="zh-CN"/>
              </w:rPr>
              <w:t>招标人</w:t>
            </w:r>
            <w:r>
              <w:rPr>
                <w:rFonts w:hint="default" w:ascii="Times New Roman" w:hAnsi="Times New Roman" w:eastAsia="宋体" w:cs="Times New Roman"/>
                <w:b w:val="0"/>
                <w:bCs w:val="0"/>
                <w:color w:val="auto"/>
                <w:sz w:val="24"/>
                <w:szCs w:val="24"/>
                <w:highlight w:val="none"/>
              </w:rPr>
              <w:t>委托评标委员会确定</w:t>
            </w:r>
          </w:p>
          <w:p>
            <w:pPr>
              <w:pStyle w:val="20"/>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eastAsia"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eastAsia="zh-CN"/>
              </w:rPr>
              <w:t>招标人</w:t>
            </w:r>
            <w:r>
              <w:rPr>
                <w:rFonts w:hint="default" w:ascii="Times New Roman" w:hAnsi="Times New Roman" w:eastAsia="宋体" w:cs="Times New Roman"/>
                <w:b w:val="0"/>
                <w:bCs w:val="0"/>
                <w:color w:val="auto"/>
                <w:sz w:val="24"/>
                <w:szCs w:val="24"/>
                <w:highlight w:val="none"/>
              </w:rPr>
              <w:t>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20"/>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随中标结果公告同时公告的中标人的投标文件内容</w:t>
            </w:r>
          </w:p>
        </w:tc>
        <w:tc>
          <w:tcPr>
            <w:tcW w:w="6292" w:type="dxa"/>
            <w:noWrap w:val="0"/>
            <w:vAlign w:val="center"/>
          </w:tcPr>
          <w:p>
            <w:pPr>
              <w:pStyle w:val="20"/>
              <w:widowControl w:val="0"/>
              <w:spacing w:before="0" w:beforeAutospacing="0" w:after="0" w:afterAutospacing="0" w:line="360" w:lineRule="auto"/>
              <w:jc w:val="both"/>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20"/>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告知招标结果的形式</w:t>
            </w:r>
          </w:p>
        </w:tc>
        <w:tc>
          <w:tcPr>
            <w:tcW w:w="6292" w:type="dxa"/>
            <w:noWrap w:val="0"/>
            <w:vAlign w:val="center"/>
          </w:tcPr>
          <w:p>
            <w:pPr>
              <w:pStyle w:val="20"/>
              <w:widowControl w:val="0"/>
              <w:spacing w:before="0" w:beforeAutospacing="0" w:after="0" w:afterAutospacing="0" w:line="360" w:lineRule="auto"/>
              <w:jc w:val="both"/>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color w:val="auto"/>
                <w:sz w:val="24"/>
                <w:highlight w:val="none"/>
              </w:rPr>
              <w:t>评标现场告知或</w:t>
            </w:r>
            <w:r>
              <w:rPr>
                <w:rFonts w:hint="default" w:ascii="Times New Roman" w:hAnsi="Times New Roman" w:eastAsia="宋体" w:cs="Times New Roman"/>
                <w:b w:val="0"/>
                <w:bCs w:val="0"/>
                <w:color w:val="auto"/>
                <w:sz w:val="24"/>
                <w:szCs w:val="24"/>
                <w:highlight w:val="none"/>
              </w:rPr>
              <w:t>投标人自行上网查看（公告或邮件）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157" w:type="dxa"/>
            <w:noWrap w:val="0"/>
            <w:vAlign w:val="center"/>
          </w:tcPr>
          <w:p>
            <w:pPr>
              <w:pStyle w:val="20"/>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履约保证金</w:t>
            </w:r>
          </w:p>
        </w:tc>
        <w:tc>
          <w:tcPr>
            <w:tcW w:w="6292" w:type="dxa"/>
            <w:noWrap w:val="0"/>
            <w:vAlign w:val="center"/>
          </w:tcPr>
          <w:p>
            <w:pPr>
              <w:pStyle w:val="21"/>
              <w:numPr>
                <w:ilvl w:val="0"/>
                <w:numId w:val="0"/>
              </w:numPr>
              <w:tabs>
                <w:tab w:val="left" w:pos="351"/>
              </w:tabs>
              <w:spacing w:before="131" w:after="0" w:line="343" w:lineRule="auto"/>
              <w:ind w:left="109" w:leftChars="0" w:right="97" w:rightChars="0"/>
              <w:jc w:val="left"/>
              <w:rPr>
                <w:rFonts w:hint="default" w:ascii="Times New Roman" w:hAnsi="Times New Roman" w:eastAsia="宋体" w:cs="Times New Roman"/>
                <w:b w:val="0"/>
                <w:color w:val="auto"/>
                <w:sz w:val="24"/>
                <w:highlight w:val="none"/>
                <w:lang w:val="en-US" w:eastAsia="zh-CN"/>
              </w:rPr>
            </w:pPr>
            <w:r>
              <w:rPr>
                <w:rFonts w:hint="default" w:ascii="Times New Roman" w:hAnsi="Times New Roman" w:cs="Times New Roman"/>
                <w:b w:val="0"/>
                <w:color w:val="auto"/>
                <w:sz w:val="24"/>
                <w:highlight w:val="none"/>
                <w:lang w:val="en-US" w:eastAsia="zh-CN"/>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20"/>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中标服务费</w:t>
            </w:r>
          </w:p>
        </w:tc>
        <w:tc>
          <w:tcPr>
            <w:tcW w:w="6292" w:type="dxa"/>
            <w:noWrap w:val="0"/>
            <w:vAlign w:val="center"/>
          </w:tcPr>
          <w:p>
            <w:pPr>
              <w:pStyle w:val="20"/>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（1）金额：</w:t>
            </w:r>
          </w:p>
          <w:p>
            <w:pPr>
              <w:pStyle w:val="20"/>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sym w:font="Wingdings 2" w:char="0052"/>
            </w:r>
            <w:r>
              <w:rPr>
                <w:rFonts w:hint="default" w:ascii="Times New Roman" w:hAnsi="Times New Roman" w:eastAsia="宋体" w:cs="Times New Roman"/>
                <w:b w:val="0"/>
                <w:color w:val="auto"/>
                <w:sz w:val="24"/>
                <w:highlight w:val="none"/>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2157" w:type="dxa"/>
            <w:noWrap w:val="0"/>
            <w:vAlign w:val="center"/>
          </w:tcPr>
          <w:p>
            <w:pPr>
              <w:pStyle w:val="20"/>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质疑函递交方式、接收部门、联系电话和通讯地址</w:t>
            </w:r>
          </w:p>
        </w:tc>
        <w:tc>
          <w:tcPr>
            <w:tcW w:w="6292" w:type="dxa"/>
            <w:noWrap w:val="0"/>
            <w:vAlign w:val="center"/>
          </w:tcPr>
          <w:p>
            <w:pPr>
              <w:pStyle w:val="20"/>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递交方式：</w:t>
            </w:r>
            <w:r>
              <w:rPr>
                <w:rFonts w:hint="default" w:ascii="Times New Roman" w:hAnsi="Times New Roman" w:eastAsia="宋体" w:cs="Times New Roman"/>
                <w:b w:val="0"/>
                <w:color w:val="auto"/>
                <w:sz w:val="24"/>
                <w:highlight w:val="none"/>
                <w:u w:val="single"/>
              </w:rPr>
              <w:t>书面形式</w:t>
            </w:r>
          </w:p>
          <w:p>
            <w:pPr>
              <w:pStyle w:val="20"/>
              <w:widowControl w:val="0"/>
              <w:spacing w:before="0" w:beforeAutospacing="0" w:after="0" w:afterAutospacing="0" w:line="360" w:lineRule="auto"/>
              <w:jc w:val="both"/>
              <w:rPr>
                <w:rFonts w:hint="default" w:ascii="Times New Roman" w:hAnsi="Times New Roman" w:eastAsia="宋体" w:cs="Times New Roman"/>
                <w:b w:val="0"/>
                <w:bCs w:val="0"/>
                <w:color w:val="auto"/>
                <w:sz w:val="24"/>
                <w:szCs w:val="18"/>
                <w:highlight w:val="none"/>
                <w:u w:val="single"/>
              </w:rPr>
            </w:pPr>
            <w:r>
              <w:rPr>
                <w:rFonts w:hint="default" w:ascii="Times New Roman" w:hAnsi="Times New Roman" w:eastAsia="宋体" w:cs="Times New Roman"/>
                <w:b w:val="0"/>
                <w:color w:val="auto"/>
                <w:sz w:val="24"/>
                <w:highlight w:val="none"/>
              </w:rPr>
              <w:t>接收部门：</w:t>
            </w:r>
            <w:r>
              <w:rPr>
                <w:rFonts w:hint="default" w:ascii="Times New Roman" w:hAnsi="Times New Roman" w:eastAsia="宋体" w:cs="Times New Roman"/>
                <w:b w:val="0"/>
                <w:bCs w:val="0"/>
                <w:color w:val="auto"/>
                <w:sz w:val="24"/>
                <w:szCs w:val="18"/>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合肥包河文广产业投资有限公司</w:t>
            </w:r>
            <w:r>
              <w:rPr>
                <w:rFonts w:hint="eastAsia" w:ascii="Times New Roman" w:hAnsi="Times New Roman" w:eastAsia="宋体" w:cs="Times New Roman"/>
                <w:b w:val="0"/>
                <w:color w:val="auto"/>
                <w:sz w:val="24"/>
                <w:highlight w:val="none"/>
                <w:u w:val="single"/>
                <w:lang w:val="en-US" w:eastAsia="zh-CN"/>
              </w:rPr>
              <w:t xml:space="preserve">   </w:t>
            </w:r>
            <w:r>
              <w:rPr>
                <w:rFonts w:hint="default" w:ascii="Times New Roman" w:hAnsi="Times New Roman" w:eastAsia="宋体" w:cs="Times New Roman"/>
                <w:b w:val="0"/>
                <w:bCs w:val="0"/>
                <w:color w:val="auto"/>
                <w:sz w:val="24"/>
                <w:szCs w:val="18"/>
                <w:highlight w:val="none"/>
                <w:u w:val="single"/>
              </w:rPr>
              <w:t xml:space="preserve"> </w:t>
            </w:r>
          </w:p>
          <w:p>
            <w:pPr>
              <w:pStyle w:val="20"/>
              <w:widowControl w:val="0"/>
              <w:spacing w:before="0" w:beforeAutospacing="0" w:after="0" w:afterAutospacing="0" w:line="360" w:lineRule="auto"/>
              <w:jc w:val="both"/>
              <w:rPr>
                <w:rFonts w:hint="default" w:ascii="Times New Roman" w:hAnsi="Times New Roman" w:eastAsia="宋体" w:cs="Times New Roman"/>
                <w:b w:val="0"/>
                <w:bCs w:val="0"/>
                <w:color w:val="auto"/>
                <w:sz w:val="24"/>
                <w:szCs w:val="18"/>
                <w:highlight w:val="none"/>
                <w:u w:val="single"/>
              </w:rPr>
            </w:pPr>
            <w:r>
              <w:rPr>
                <w:rFonts w:hint="default" w:ascii="Times New Roman" w:hAnsi="Times New Roman" w:eastAsia="宋体" w:cs="Times New Roman"/>
                <w:b w:val="0"/>
                <w:color w:val="auto"/>
                <w:sz w:val="24"/>
                <w:highlight w:val="none"/>
              </w:rPr>
              <w:t>联系电话：</w:t>
            </w:r>
            <w:r>
              <w:rPr>
                <w:rFonts w:hint="default" w:ascii="Times New Roman" w:hAnsi="Times New Roman" w:eastAsia="宋体" w:cs="Times New Roman"/>
                <w:b w:val="0"/>
                <w:bCs w:val="0"/>
                <w:color w:val="auto"/>
                <w:sz w:val="24"/>
                <w:szCs w:val="18"/>
                <w:highlight w:val="none"/>
                <w:u w:val="single"/>
              </w:rPr>
              <w:t xml:space="preserve"> </w:t>
            </w:r>
            <w:r>
              <w:rPr>
                <w:rFonts w:hint="eastAsia" w:ascii="Times New Roman" w:hAnsi="Times New Roman" w:eastAsia="宋体" w:cs="Times New Roman"/>
                <w:b w:val="0"/>
                <w:bCs w:val="0"/>
                <w:color w:val="auto"/>
                <w:sz w:val="24"/>
                <w:szCs w:val="18"/>
                <w:highlight w:val="none"/>
                <w:u w:val="single"/>
                <w:lang w:val="en-US" w:eastAsia="zh-CN"/>
              </w:rPr>
              <w:t>0551-63</w:t>
            </w:r>
            <w:r>
              <w:rPr>
                <w:rFonts w:hint="default" w:ascii="Times New Roman" w:hAnsi="Times New Roman" w:eastAsia="宋体" w:cs="Times New Roman"/>
                <w:b w:val="0"/>
                <w:bCs w:val="0"/>
                <w:color w:val="auto"/>
                <w:sz w:val="24"/>
                <w:szCs w:val="18"/>
                <w:highlight w:val="none"/>
                <w:u w:val="single"/>
              </w:rPr>
              <w:t xml:space="preserve"> </w:t>
            </w:r>
          </w:p>
          <w:p>
            <w:pPr>
              <w:pStyle w:val="20"/>
              <w:widowControl w:val="0"/>
              <w:spacing w:before="0" w:beforeAutospacing="0" w:after="0" w:afterAutospacing="0" w:line="360" w:lineRule="auto"/>
              <w:jc w:val="both"/>
              <w:rPr>
                <w:rFonts w:hint="default" w:ascii="Times New Roman" w:hAnsi="Times New Roman" w:eastAsia="宋体" w:cs="Times New Roman"/>
                <w:b w:val="0"/>
                <w:bCs w:val="0"/>
                <w:color w:val="auto"/>
                <w:sz w:val="24"/>
                <w:szCs w:val="18"/>
                <w:highlight w:val="none"/>
                <w:u w:val="single"/>
              </w:rPr>
            </w:pPr>
            <w:r>
              <w:rPr>
                <w:rFonts w:hint="default" w:ascii="Times New Roman" w:hAnsi="Times New Roman" w:eastAsia="宋体" w:cs="Times New Roman"/>
                <w:b w:val="0"/>
                <w:color w:val="auto"/>
                <w:sz w:val="24"/>
                <w:highlight w:val="none"/>
              </w:rPr>
              <w:t>电子邮箱：</w:t>
            </w:r>
            <w:r>
              <w:rPr>
                <w:rFonts w:hint="default" w:ascii="Times New Roman" w:hAnsi="Times New Roman" w:eastAsia="宋体" w:cs="Times New Roman"/>
                <w:b w:val="0"/>
                <w:bCs w:val="0"/>
                <w:color w:val="auto"/>
                <w:sz w:val="24"/>
                <w:szCs w:val="18"/>
                <w:highlight w:val="none"/>
                <w:u w:val="single"/>
              </w:rPr>
              <w:tab/>
            </w:r>
            <w:r>
              <w:rPr>
                <w:rFonts w:hint="default" w:ascii="Times New Roman" w:hAnsi="Times New Roman" w:eastAsia="宋体" w:cs="Times New Roman"/>
                <w:b w:val="0"/>
                <w:bCs w:val="0"/>
                <w:color w:val="auto"/>
                <w:sz w:val="24"/>
                <w:szCs w:val="18"/>
                <w:highlight w:val="none"/>
                <w:u w:val="single"/>
              </w:rPr>
              <w:t xml:space="preserve">                          </w:t>
            </w:r>
          </w:p>
          <w:p>
            <w:pPr>
              <w:pStyle w:val="20"/>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通讯地址：</w:t>
            </w:r>
            <w:r>
              <w:rPr>
                <w:rFonts w:hint="default" w:ascii="Times New Roman" w:hAnsi="Times New Roman" w:eastAsia="宋体" w:cs="Times New Roman"/>
                <w:b w:val="0"/>
                <w:bCs w:val="0"/>
                <w:color w:val="auto"/>
                <w:sz w:val="24"/>
                <w:szCs w:val="18"/>
                <w:highlight w:val="none"/>
                <w:u w:val="single"/>
              </w:rPr>
              <w:t xml:space="preserve"> </w:t>
            </w:r>
            <w:r>
              <w:rPr>
                <w:rFonts w:hint="eastAsia" w:ascii="Times New Roman" w:hAnsi="Times New Roman" w:eastAsia="宋体" w:cs="Times New Roman"/>
                <w:b w:val="0"/>
                <w:bCs w:val="0"/>
                <w:color w:val="auto"/>
                <w:sz w:val="24"/>
                <w:szCs w:val="18"/>
                <w:highlight w:val="none"/>
                <w:u w:val="single"/>
                <w:lang w:val="en-US" w:eastAsia="zh-CN"/>
              </w:rPr>
              <w:t xml:space="preserve">合肥市包河区花园大道365号，滨湖卓越城文华园A2栋4楼   </w:t>
            </w:r>
            <w:r>
              <w:rPr>
                <w:rFonts w:hint="default" w:ascii="Times New Roman" w:hAnsi="Times New Roman" w:eastAsia="宋体" w:cs="Times New Roman"/>
                <w:b w:val="0"/>
                <w:bCs w:val="0"/>
                <w:color w:val="auto"/>
                <w:sz w:val="24"/>
                <w:szCs w:val="1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20"/>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其他内容</w:t>
            </w:r>
          </w:p>
        </w:tc>
        <w:tc>
          <w:tcPr>
            <w:tcW w:w="6292" w:type="dxa"/>
            <w:noWrap w:val="0"/>
            <w:vAlign w:val="center"/>
          </w:tcPr>
          <w:p>
            <w:pPr>
              <w:pStyle w:val="20"/>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20"/>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关于联合体投标的相关约定</w:t>
            </w:r>
          </w:p>
        </w:tc>
        <w:tc>
          <w:tcPr>
            <w:tcW w:w="6292" w:type="dxa"/>
            <w:noWrap w:val="0"/>
            <w:vAlign w:val="center"/>
          </w:tcPr>
          <w:p>
            <w:pPr>
              <w:pStyle w:val="20"/>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（1）联合体投标的，招标文件获取手续由联合体中任一成员单位办理均可。</w:t>
            </w:r>
          </w:p>
          <w:p>
            <w:pPr>
              <w:pStyle w:val="20"/>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（2）联合体投标的须提供联合协议（见投标文件格式），相关证明材料由投标人根据联合协议分工情况及招标文件要求提供。</w:t>
            </w:r>
          </w:p>
          <w:p>
            <w:pPr>
              <w:pStyle w:val="20"/>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（3）联合体各成员单位均须提供营业执照（或事业单位法人登记证书）和无重大违法记录声明函、无不良信用记录声明函。</w:t>
            </w:r>
          </w:p>
          <w:p>
            <w:pPr>
              <w:pStyle w:val="20"/>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（4）关于联合体缴纳投标保证金（如有）：为简化评标现场投标保证金查询、后期投标保证金退还及合同备案清算手续，投标保证金建议由联合体牵头人足额缴纳至本项目投标保证金账号。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20"/>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社保证明材料</w:t>
            </w:r>
          </w:p>
        </w:tc>
        <w:tc>
          <w:tcPr>
            <w:tcW w:w="6292" w:type="dxa"/>
            <w:noWrap w:val="0"/>
            <w:vAlign w:val="center"/>
          </w:tcPr>
          <w:p>
            <w:pPr>
              <w:pStyle w:val="20"/>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本项目招标文件中要求提供的社保证明材料为下述形式之一（投标文件中须提供影印件或复印件）：</w:t>
            </w:r>
          </w:p>
          <w:p>
            <w:pPr>
              <w:pStyle w:val="20"/>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（1）社保局官方网站查询的缴费记录截图；</w:t>
            </w:r>
          </w:p>
          <w:p>
            <w:pPr>
              <w:pStyle w:val="20"/>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（2）社保局的书面证明材料；</w:t>
            </w:r>
          </w:p>
          <w:p>
            <w:pPr>
              <w:pStyle w:val="20"/>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（3）经投标人委托的第三方人力资源服务机构或与投标人有直接隶属关系的机构可以代缴社保，但须提供有关证明材料并经评标委员会确认。</w:t>
            </w:r>
          </w:p>
          <w:p>
            <w:pPr>
              <w:pStyle w:val="20"/>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w:t>
            </w:r>
            <w:r>
              <w:rPr>
                <w:rFonts w:hint="default" w:ascii="Times New Roman" w:hAnsi="Times New Roman" w:eastAsia="宋体" w:cs="Times New Roman"/>
                <w:b w:val="0"/>
                <w:color w:val="auto"/>
                <w:sz w:val="24"/>
                <w:highlight w:val="none"/>
                <w:lang w:val="en-US" w:eastAsia="zh-CN"/>
              </w:rPr>
              <w:t>4</w:t>
            </w:r>
            <w:r>
              <w:rPr>
                <w:rFonts w:hint="default" w:ascii="Times New Roman" w:hAnsi="Times New Roman" w:eastAsia="宋体" w:cs="Times New Roman"/>
                <w:b w:val="0"/>
                <w:color w:val="auto"/>
                <w:sz w:val="24"/>
                <w:highlight w:val="none"/>
              </w:rPr>
              <w:t>）其他经评标委员会认可的证明材料。</w:t>
            </w:r>
          </w:p>
          <w:p>
            <w:pPr>
              <w:pStyle w:val="20"/>
              <w:widowControl w:val="0"/>
              <w:spacing w:before="0" w:beforeAutospacing="0" w:after="0" w:afterAutospacing="0" w:line="360" w:lineRule="auto"/>
              <w:jc w:val="both"/>
              <w:rPr>
                <w:rFonts w:hint="default" w:ascii="Times New Roman" w:hAnsi="Times New Roman" w:eastAsia="宋体" w:cs="Times New Roman"/>
                <w:b w:val="0"/>
                <w:iCs/>
                <w:color w:val="auto"/>
                <w:sz w:val="24"/>
                <w:highlight w:val="none"/>
              </w:rPr>
            </w:pPr>
            <w:r>
              <w:rPr>
                <w:rFonts w:hint="default" w:ascii="Times New Roman" w:hAnsi="Times New Roman" w:eastAsia="宋体" w:cs="Times New Roman"/>
                <w:b w:val="0"/>
                <w:iCs/>
                <w:color w:val="auto"/>
                <w:sz w:val="24"/>
                <w:highlight w:val="none"/>
              </w:rPr>
              <w:t>（</w:t>
            </w:r>
            <w:r>
              <w:rPr>
                <w:rFonts w:hint="default" w:ascii="Times New Roman" w:hAnsi="Times New Roman" w:eastAsia="宋体" w:cs="Times New Roman"/>
                <w:b w:val="0"/>
                <w:iCs/>
                <w:color w:val="auto"/>
                <w:sz w:val="24"/>
                <w:highlight w:val="none"/>
                <w:lang w:val="en-US" w:eastAsia="zh-CN"/>
              </w:rPr>
              <w:t>5</w:t>
            </w:r>
            <w:r>
              <w:rPr>
                <w:rFonts w:hint="default" w:ascii="Times New Roman" w:hAnsi="Times New Roman" w:eastAsia="宋体" w:cs="Times New Roman"/>
                <w:b w:val="0"/>
                <w:iCs/>
                <w:color w:val="auto"/>
                <w:sz w:val="24"/>
                <w:highlight w:val="none"/>
              </w:rPr>
              <w:t>）法定代表人参与项目的，无需提供社保证明材料，提供身份证明材料即可。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57" w:type="dxa"/>
            <w:noWrap w:val="0"/>
            <w:vAlign w:val="center"/>
          </w:tcPr>
          <w:p>
            <w:pPr>
              <w:pStyle w:val="21"/>
              <w:ind w:right="131" w:rightChars="0"/>
              <w:jc w:val="center"/>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kern w:val="0"/>
                <w:sz w:val="24"/>
                <w:szCs w:val="28"/>
                <w:highlight w:val="none"/>
                <w:lang w:val="en-US" w:eastAsia="zh-CN" w:bidi="ar-SA"/>
              </w:rPr>
              <w:t>付款方式</w:t>
            </w:r>
          </w:p>
        </w:tc>
        <w:tc>
          <w:tcPr>
            <w:tcW w:w="6292" w:type="dxa"/>
            <w:noWrap w:val="0"/>
            <w:vAlign w:val="center"/>
          </w:tcPr>
          <w:p>
            <w:pPr>
              <w:pStyle w:val="20"/>
              <w:widowControl w:val="0"/>
              <w:spacing w:before="0" w:beforeAutospacing="0" w:after="0" w:afterAutospacing="0" w:line="360" w:lineRule="auto"/>
              <w:jc w:val="both"/>
              <w:rPr>
                <w:rFonts w:hint="default" w:ascii="Times New Roman" w:hAnsi="Times New Roman" w:eastAsia="宋体" w:cs="Times New Roman"/>
                <w:b w:val="0"/>
                <w:bCs/>
                <w:color w:val="auto"/>
                <w:sz w:val="24"/>
                <w:highlight w:val="none"/>
                <w:lang w:val="zh-CN"/>
              </w:rPr>
            </w:pPr>
            <w:r>
              <w:rPr>
                <w:rFonts w:hint="default" w:ascii="Times New Roman" w:hAnsi="Times New Roman" w:eastAsia="宋体" w:cs="Times New Roman"/>
                <w:b w:val="0"/>
                <w:bCs/>
                <w:color w:val="auto"/>
                <w:sz w:val="24"/>
                <w:highlight w:val="none"/>
                <w:lang w:val="zh-CN"/>
              </w:rPr>
              <w:t>付款方式具体约定如下：</w:t>
            </w:r>
          </w:p>
          <w:p>
            <w:pPr>
              <w:pStyle w:val="20"/>
              <w:widowControl w:val="0"/>
              <w:spacing w:before="0" w:beforeAutospacing="0" w:after="0" w:afterAutospacing="0" w:line="360" w:lineRule="auto"/>
              <w:jc w:val="both"/>
              <w:rPr>
                <w:rFonts w:hint="eastAsia" w:ascii="Times New Roman" w:hAnsi="Times New Roman" w:eastAsia="宋体" w:cs="Times New Roman"/>
                <w:b w:val="0"/>
                <w:bCs/>
                <w:color w:val="auto"/>
                <w:sz w:val="24"/>
                <w:highlight w:val="none"/>
                <w:lang w:val="en-US" w:eastAsia="zh-CN"/>
              </w:rPr>
            </w:pPr>
            <w:r>
              <w:rPr>
                <w:rFonts w:hint="eastAsia" w:ascii="Times New Roman" w:hAnsi="Times New Roman" w:eastAsia="宋体" w:cs="Times New Roman"/>
                <w:b w:val="0"/>
                <w:bCs/>
                <w:color w:val="auto"/>
                <w:sz w:val="24"/>
                <w:highlight w:val="none"/>
                <w:lang w:val="en-US" w:eastAsia="zh-CN"/>
              </w:rPr>
              <w:t>工程竣工验收合格后，工程款资料经招标人组织审核后，30天内</w:t>
            </w:r>
            <w:r>
              <w:rPr>
                <w:rFonts w:hint="default" w:ascii="Times New Roman" w:hAnsi="Times New Roman" w:eastAsia="宋体" w:cs="Times New Roman"/>
                <w:b w:val="0"/>
                <w:bCs/>
                <w:color w:val="auto"/>
                <w:sz w:val="24"/>
                <w:highlight w:val="none"/>
                <w:lang w:val="zh-CN"/>
              </w:rPr>
              <w:t>支付至</w:t>
            </w:r>
            <w:r>
              <w:rPr>
                <w:rFonts w:hint="eastAsia" w:ascii="Times New Roman" w:hAnsi="Times New Roman" w:eastAsia="宋体" w:cs="Times New Roman"/>
                <w:b w:val="0"/>
                <w:bCs/>
                <w:color w:val="auto"/>
                <w:sz w:val="24"/>
                <w:highlight w:val="none"/>
                <w:lang w:val="en-US" w:eastAsia="zh-CN"/>
              </w:rPr>
              <w:t>已完合格工程量</w:t>
            </w:r>
            <w:r>
              <w:rPr>
                <w:rFonts w:hint="default" w:ascii="Times New Roman" w:hAnsi="Times New Roman" w:eastAsia="宋体" w:cs="Times New Roman"/>
                <w:b w:val="0"/>
                <w:bCs/>
                <w:color w:val="auto"/>
                <w:sz w:val="24"/>
                <w:highlight w:val="none"/>
                <w:lang w:val="zh-CN"/>
              </w:rPr>
              <w:t>的</w:t>
            </w:r>
            <w:r>
              <w:rPr>
                <w:rFonts w:hint="default" w:ascii="Times New Roman" w:hAnsi="Times New Roman" w:eastAsia="宋体" w:cs="Times New Roman"/>
                <w:b w:val="0"/>
                <w:bCs/>
                <w:color w:val="auto"/>
                <w:sz w:val="24"/>
                <w:highlight w:val="none"/>
                <w:lang w:val="en-US" w:eastAsia="zh-CN"/>
              </w:rPr>
              <w:t>80</w:t>
            </w:r>
            <w:r>
              <w:rPr>
                <w:rFonts w:hint="default" w:ascii="Times New Roman" w:hAnsi="Times New Roman" w:eastAsia="宋体" w:cs="Times New Roman"/>
                <w:b w:val="0"/>
                <w:bCs/>
                <w:color w:val="auto"/>
                <w:sz w:val="24"/>
                <w:highlight w:val="none"/>
              </w:rPr>
              <w:t>%</w:t>
            </w:r>
            <w:r>
              <w:rPr>
                <w:rFonts w:hint="default" w:ascii="Times New Roman" w:hAnsi="Times New Roman" w:eastAsia="宋体" w:cs="Times New Roman"/>
                <w:b w:val="0"/>
                <w:bCs/>
                <w:color w:val="auto"/>
                <w:sz w:val="24"/>
                <w:highlight w:val="none"/>
                <w:lang w:val="zh-CN"/>
              </w:rPr>
              <w:t>；</w:t>
            </w:r>
            <w:r>
              <w:rPr>
                <w:rFonts w:hint="eastAsia" w:ascii="Times New Roman" w:hAnsi="Times New Roman" w:eastAsia="宋体" w:cs="Times New Roman"/>
                <w:b w:val="0"/>
                <w:bCs/>
                <w:color w:val="auto"/>
                <w:sz w:val="24"/>
                <w:highlight w:val="none"/>
                <w:lang w:val="en-US" w:eastAsia="zh-CN"/>
              </w:rPr>
              <w:t>项目经招标人组织审核</w:t>
            </w:r>
            <w:r>
              <w:rPr>
                <w:rFonts w:hint="default" w:ascii="Times New Roman" w:hAnsi="Times New Roman" w:eastAsia="宋体" w:cs="Times New Roman"/>
                <w:b w:val="0"/>
                <w:bCs/>
                <w:color w:val="auto"/>
                <w:sz w:val="24"/>
                <w:highlight w:val="none"/>
                <w:lang w:val="zh-CN"/>
              </w:rPr>
              <w:t>后，</w:t>
            </w:r>
            <w:r>
              <w:rPr>
                <w:rFonts w:hint="eastAsia" w:ascii="Times New Roman" w:hAnsi="Times New Roman" w:eastAsia="宋体" w:cs="Times New Roman"/>
                <w:b w:val="0"/>
                <w:bCs/>
                <w:color w:val="auto"/>
                <w:sz w:val="24"/>
                <w:highlight w:val="none"/>
                <w:lang w:val="en-US" w:eastAsia="zh-CN"/>
              </w:rPr>
              <w:t>30天内</w:t>
            </w:r>
            <w:r>
              <w:rPr>
                <w:rFonts w:hint="default" w:ascii="Times New Roman" w:hAnsi="Times New Roman" w:eastAsia="宋体" w:cs="Times New Roman"/>
                <w:b w:val="0"/>
                <w:bCs/>
                <w:color w:val="auto"/>
                <w:sz w:val="24"/>
                <w:highlight w:val="none"/>
                <w:lang w:val="zh-CN"/>
              </w:rPr>
              <w:t>支付至</w:t>
            </w:r>
            <w:r>
              <w:rPr>
                <w:rFonts w:hint="eastAsia" w:ascii="Times New Roman" w:hAnsi="Times New Roman" w:eastAsia="宋体" w:cs="Times New Roman"/>
                <w:b w:val="0"/>
                <w:bCs/>
                <w:color w:val="auto"/>
                <w:sz w:val="24"/>
                <w:highlight w:val="none"/>
                <w:lang w:val="en-US" w:eastAsia="zh-CN"/>
              </w:rPr>
              <w:t>最终审定价款</w:t>
            </w:r>
            <w:r>
              <w:rPr>
                <w:rFonts w:hint="default" w:ascii="Times New Roman" w:hAnsi="Times New Roman" w:eastAsia="宋体" w:cs="Times New Roman"/>
                <w:b w:val="0"/>
                <w:bCs/>
                <w:color w:val="auto"/>
                <w:sz w:val="24"/>
                <w:highlight w:val="none"/>
                <w:lang w:val="zh-CN"/>
              </w:rPr>
              <w:t>的</w:t>
            </w:r>
            <w:r>
              <w:rPr>
                <w:rFonts w:hint="eastAsia" w:ascii="Times New Roman" w:hAnsi="Times New Roman" w:eastAsia="宋体" w:cs="Times New Roman"/>
                <w:b w:val="0"/>
                <w:bCs/>
                <w:color w:val="auto"/>
                <w:sz w:val="24"/>
                <w:highlight w:val="none"/>
                <w:lang w:val="en-US" w:eastAsia="zh-CN"/>
              </w:rPr>
              <w:t>97%，余款作为质保金，待质保期满（竣工验收合格后壹年）后一次性支付。</w:t>
            </w:r>
          </w:p>
          <w:p>
            <w:pPr>
              <w:pStyle w:val="20"/>
              <w:widowControl w:val="0"/>
              <w:spacing w:before="0" w:beforeAutospacing="0" w:after="0" w:afterAutospacing="0" w:line="360" w:lineRule="auto"/>
              <w:jc w:val="both"/>
              <w:rPr>
                <w:rFonts w:hint="default" w:ascii="Times New Roman" w:hAnsi="Times New Roman" w:eastAsia="宋体" w:cs="Times New Roman"/>
                <w:b w:val="0"/>
                <w:bCs/>
                <w:color w:val="auto"/>
                <w:sz w:val="24"/>
                <w:highlight w:val="none"/>
                <w:lang w:val="en-US" w:eastAsia="zh-CN"/>
              </w:rPr>
            </w:pPr>
            <w:r>
              <w:rPr>
                <w:rFonts w:hint="eastAsia" w:ascii="Times New Roman" w:hAnsi="Times New Roman" w:eastAsia="宋体" w:cs="Times New Roman"/>
                <w:b w:val="0"/>
                <w:bCs/>
                <w:color w:val="auto"/>
                <w:sz w:val="24"/>
                <w:highlight w:val="none"/>
                <w:lang w:val="en-US" w:eastAsia="zh-CN"/>
              </w:rPr>
              <w:t>注：每次付款前，中标人须开具足额的增值税专用发票，否则，招标人拒绝付款。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20"/>
              <w:widowControl w:val="0"/>
              <w:spacing w:before="0" w:beforeAutospacing="0" w:after="0" w:afterAutospacing="0" w:line="360" w:lineRule="auto"/>
              <w:jc w:val="center"/>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重要提示</w:t>
            </w:r>
          </w:p>
        </w:tc>
        <w:tc>
          <w:tcPr>
            <w:tcW w:w="6292" w:type="dxa"/>
            <w:noWrap w:val="0"/>
            <w:vAlign w:val="center"/>
          </w:tcPr>
          <w:p>
            <w:pPr>
              <w:pStyle w:val="20"/>
              <w:widowControl w:val="0"/>
              <w:spacing w:before="0" w:beforeAutospacing="0" w:after="0" w:afterAutospacing="0" w:line="360" w:lineRule="auto"/>
              <w:jc w:val="both"/>
              <w:rPr>
                <w:rFonts w:hint="eastAsia" w:ascii="Times New Roman" w:hAnsi="Times New Roman" w:eastAsia="宋体" w:cs="Times New Roman"/>
                <w:b w:val="0"/>
                <w:color w:val="auto"/>
                <w:sz w:val="24"/>
                <w:highlight w:val="none"/>
                <w:lang w:eastAsia="zh-CN"/>
              </w:rPr>
            </w:pPr>
            <w:r>
              <w:rPr>
                <w:rFonts w:hint="default" w:ascii="Times New Roman" w:hAnsi="Times New Roman" w:eastAsia="宋体" w:cs="Times New Roman"/>
                <w:b w:val="0"/>
                <w:color w:val="auto"/>
                <w:sz w:val="24"/>
                <w:highlight w:val="none"/>
              </w:rPr>
              <w:t>（</w:t>
            </w:r>
            <w:r>
              <w:rPr>
                <w:rFonts w:hint="default" w:ascii="Times New Roman" w:hAnsi="Times New Roman" w:eastAsia="宋体" w:cs="Times New Roman"/>
                <w:b w:val="0"/>
                <w:color w:val="auto"/>
                <w:sz w:val="24"/>
                <w:highlight w:val="none"/>
                <w:lang w:val="en-US" w:eastAsia="zh-CN"/>
              </w:rPr>
              <w:t>1</w:t>
            </w:r>
            <w:r>
              <w:rPr>
                <w:rFonts w:hint="default" w:ascii="Times New Roman" w:hAnsi="Times New Roman" w:eastAsia="宋体" w:cs="Times New Roman"/>
                <w:b w:val="0"/>
                <w:color w:val="auto"/>
                <w:sz w:val="24"/>
                <w:highlight w:val="none"/>
              </w:rPr>
              <w:t>）中标人应在规定期限内领取《中标通知书》，若中标人未在规定期限内领取《中标通知书》，</w:t>
            </w:r>
            <w:r>
              <w:rPr>
                <w:rFonts w:hint="default" w:ascii="Times New Roman" w:hAnsi="Times New Roman" w:eastAsia="宋体" w:cs="Times New Roman"/>
                <w:b w:val="0"/>
                <w:color w:val="auto"/>
                <w:sz w:val="24"/>
                <w:highlight w:val="none"/>
                <w:lang w:eastAsia="zh-CN"/>
              </w:rPr>
              <w:t>招标人</w:t>
            </w:r>
            <w:r>
              <w:rPr>
                <w:rFonts w:hint="default" w:ascii="Times New Roman" w:hAnsi="Times New Roman" w:eastAsia="宋体" w:cs="Times New Roman"/>
                <w:b w:val="0"/>
                <w:color w:val="auto"/>
                <w:sz w:val="24"/>
                <w:highlight w:val="none"/>
              </w:rPr>
              <w:t>有权取消中标人中标资格</w:t>
            </w:r>
            <w:r>
              <w:rPr>
                <w:rFonts w:hint="eastAsia" w:ascii="Times New Roman" w:hAnsi="Times New Roman" w:eastAsia="宋体" w:cs="Times New Roman"/>
                <w:b w:val="0"/>
                <w:color w:val="auto"/>
                <w:sz w:val="24"/>
                <w:highlight w:val="none"/>
                <w:lang w:eastAsia="zh-CN"/>
              </w:rPr>
              <w:t>。</w:t>
            </w:r>
          </w:p>
          <w:p>
            <w:pPr>
              <w:pStyle w:val="20"/>
              <w:widowControl w:val="0"/>
              <w:spacing w:before="0" w:beforeAutospacing="0" w:after="0" w:afterAutospacing="0" w:line="360" w:lineRule="auto"/>
              <w:jc w:val="both"/>
              <w:rPr>
                <w:rFonts w:hint="eastAsia" w:ascii="Times New Roman" w:hAnsi="Times New Roman" w:eastAsia="宋体" w:cs="Times New Roman"/>
                <w:b w:val="0"/>
                <w:color w:val="auto"/>
                <w:sz w:val="24"/>
                <w:highlight w:val="none"/>
                <w:lang w:eastAsia="zh-CN"/>
              </w:rPr>
            </w:pPr>
            <w:r>
              <w:rPr>
                <w:rFonts w:hint="default" w:ascii="Times New Roman" w:hAnsi="Times New Roman" w:eastAsia="宋体" w:cs="Times New Roman"/>
                <w:b w:val="0"/>
                <w:color w:val="auto"/>
                <w:sz w:val="24"/>
                <w:highlight w:val="none"/>
              </w:rPr>
              <w:t>（</w:t>
            </w:r>
            <w:r>
              <w:rPr>
                <w:rFonts w:hint="default" w:ascii="Times New Roman" w:hAnsi="Times New Roman" w:eastAsia="宋体" w:cs="Times New Roman"/>
                <w:b w:val="0"/>
                <w:color w:val="auto"/>
                <w:sz w:val="24"/>
                <w:highlight w:val="none"/>
                <w:lang w:val="en-US" w:eastAsia="zh-CN"/>
              </w:rPr>
              <w:t>2</w:t>
            </w:r>
            <w:r>
              <w:rPr>
                <w:rFonts w:hint="default" w:ascii="Times New Roman" w:hAnsi="Times New Roman" w:eastAsia="宋体" w:cs="Times New Roman"/>
                <w:b w:val="0"/>
                <w:color w:val="auto"/>
                <w:sz w:val="24"/>
                <w:highlight w:val="none"/>
              </w:rPr>
              <w:t>）合同签订后，中标人存在规定时间内不组织人员进场开工，不履行</w:t>
            </w:r>
            <w:r>
              <w:rPr>
                <w:rFonts w:hint="eastAsia" w:ascii="Times New Roman" w:hAnsi="Times New Roman" w:eastAsia="宋体" w:cs="Times New Roman"/>
                <w:b w:val="0"/>
                <w:color w:val="auto"/>
                <w:sz w:val="24"/>
                <w:highlight w:val="none"/>
                <w:lang w:val="en-US" w:eastAsia="zh-CN"/>
              </w:rPr>
              <w:t>合同</w:t>
            </w:r>
            <w:r>
              <w:rPr>
                <w:rFonts w:hint="default" w:ascii="Times New Roman" w:hAnsi="Times New Roman" w:eastAsia="宋体" w:cs="Times New Roman"/>
                <w:b w:val="0"/>
                <w:color w:val="auto"/>
                <w:sz w:val="24"/>
                <w:highlight w:val="none"/>
              </w:rPr>
              <w:t>义务等情况，</w:t>
            </w:r>
            <w:r>
              <w:rPr>
                <w:rFonts w:hint="default" w:ascii="Times New Roman" w:hAnsi="Times New Roman" w:eastAsia="宋体" w:cs="Times New Roman"/>
                <w:b w:val="0"/>
                <w:color w:val="auto"/>
                <w:sz w:val="24"/>
                <w:highlight w:val="none"/>
                <w:lang w:eastAsia="zh-CN"/>
              </w:rPr>
              <w:t>招标人</w:t>
            </w:r>
            <w:r>
              <w:rPr>
                <w:rFonts w:hint="default" w:ascii="Times New Roman" w:hAnsi="Times New Roman" w:eastAsia="宋体" w:cs="Times New Roman"/>
                <w:b w:val="0"/>
                <w:color w:val="auto"/>
                <w:sz w:val="24"/>
                <w:highlight w:val="none"/>
              </w:rPr>
              <w:t>有权解除合同，并追究违约责任</w:t>
            </w:r>
            <w:r>
              <w:rPr>
                <w:rFonts w:hint="eastAsia" w:ascii="Times New Roman" w:hAnsi="Times New Roman" w:eastAsia="宋体" w:cs="Times New Roman"/>
                <w:b w:val="0"/>
                <w:color w:val="auto"/>
                <w:sz w:val="24"/>
                <w:highlight w:val="none"/>
                <w:lang w:eastAsia="zh-CN"/>
              </w:rPr>
              <w:t>。</w:t>
            </w:r>
          </w:p>
          <w:p>
            <w:pPr>
              <w:pStyle w:val="20"/>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w:t>
            </w:r>
            <w:r>
              <w:rPr>
                <w:rFonts w:hint="default" w:ascii="Times New Roman" w:hAnsi="Times New Roman" w:eastAsia="宋体" w:cs="Times New Roman"/>
                <w:b w:val="0"/>
                <w:color w:val="auto"/>
                <w:sz w:val="24"/>
                <w:highlight w:val="none"/>
                <w:lang w:val="en-US" w:eastAsia="zh-CN"/>
              </w:rPr>
              <w:t>3</w:t>
            </w:r>
            <w:r>
              <w:rPr>
                <w:rFonts w:hint="default" w:ascii="Times New Roman" w:hAnsi="Times New Roman" w:eastAsia="宋体" w:cs="Times New Roman"/>
                <w:b w:val="0"/>
                <w:color w:val="auto"/>
                <w:sz w:val="24"/>
                <w:highlight w:val="none"/>
              </w:rPr>
              <w:t>）中标人中标后被监管部门查实存在违法行为，不满足中标条件的，由</w:t>
            </w:r>
            <w:r>
              <w:rPr>
                <w:rFonts w:hint="default" w:ascii="Times New Roman" w:hAnsi="Times New Roman" w:eastAsia="宋体" w:cs="Times New Roman"/>
                <w:b w:val="0"/>
                <w:color w:val="auto"/>
                <w:sz w:val="24"/>
                <w:highlight w:val="none"/>
                <w:lang w:eastAsia="zh-CN"/>
              </w:rPr>
              <w:t>招标人</w:t>
            </w:r>
            <w:r>
              <w:rPr>
                <w:rFonts w:hint="default" w:ascii="Times New Roman" w:hAnsi="Times New Roman" w:eastAsia="宋体" w:cs="Times New Roman"/>
                <w:b w:val="0"/>
                <w:color w:val="auto"/>
                <w:sz w:val="24"/>
                <w:highlight w:val="none"/>
              </w:rPr>
              <w:t>取消中标资格，并做好项目后续工作；</w:t>
            </w:r>
          </w:p>
          <w:p>
            <w:pPr>
              <w:pStyle w:val="20"/>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w:t>
            </w:r>
            <w:r>
              <w:rPr>
                <w:rFonts w:hint="default" w:ascii="Times New Roman" w:hAnsi="Times New Roman" w:eastAsia="宋体" w:cs="Times New Roman"/>
                <w:b w:val="0"/>
                <w:color w:val="auto"/>
                <w:sz w:val="24"/>
                <w:highlight w:val="none"/>
                <w:lang w:val="en-US" w:eastAsia="zh-CN"/>
              </w:rPr>
              <w:t>4</w:t>
            </w:r>
            <w:r>
              <w:rPr>
                <w:rFonts w:hint="default" w:ascii="Times New Roman" w:hAnsi="Times New Roman" w:eastAsia="宋体" w:cs="Times New Roman"/>
                <w:b w:val="0"/>
                <w:color w:val="auto"/>
                <w:sz w:val="24"/>
                <w:highlight w:val="none"/>
              </w:rPr>
              <w:t>）中标人在中标项目发生投诉、信访举报案件、履约存在争议时，拒绝协助配合执法部门调查案件的，</w:t>
            </w:r>
            <w:r>
              <w:rPr>
                <w:rFonts w:hint="default" w:ascii="Times New Roman" w:hAnsi="Times New Roman" w:eastAsia="宋体" w:cs="Times New Roman"/>
                <w:b w:val="0"/>
                <w:color w:val="auto"/>
                <w:sz w:val="24"/>
                <w:highlight w:val="none"/>
                <w:lang w:eastAsia="zh-CN"/>
              </w:rPr>
              <w:t>招标人</w:t>
            </w:r>
            <w:r>
              <w:rPr>
                <w:rFonts w:hint="default" w:ascii="Times New Roman" w:hAnsi="Times New Roman" w:eastAsia="宋体" w:cs="Times New Roman"/>
                <w:b w:val="0"/>
                <w:color w:val="auto"/>
                <w:sz w:val="24"/>
                <w:highlight w:val="none"/>
              </w:rPr>
              <w:t>可以取消其中标资格或解除合同，并追究其违约责任。</w:t>
            </w:r>
          </w:p>
          <w:p>
            <w:pPr>
              <w:pStyle w:val="20"/>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lang w:val="en-US" w:eastAsia="zh-CN"/>
              </w:rPr>
            </w:pPr>
            <w:r>
              <w:rPr>
                <w:rFonts w:hint="default" w:ascii="Times New Roman" w:hAnsi="Times New Roman" w:eastAsia="宋体" w:cs="Times New Roman"/>
                <w:b w:val="0"/>
                <w:color w:val="auto"/>
                <w:sz w:val="24"/>
                <w:highlight w:val="none"/>
                <w:lang w:eastAsia="zh-CN"/>
              </w:rPr>
              <w:t>（</w:t>
            </w:r>
            <w:r>
              <w:rPr>
                <w:rFonts w:hint="default" w:ascii="Times New Roman" w:hAnsi="Times New Roman" w:eastAsia="宋体" w:cs="Times New Roman"/>
                <w:b w:val="0"/>
                <w:color w:val="auto"/>
                <w:sz w:val="24"/>
                <w:highlight w:val="none"/>
                <w:lang w:val="en-US" w:eastAsia="zh-CN"/>
              </w:rPr>
              <w:t>5</w:t>
            </w:r>
            <w:r>
              <w:rPr>
                <w:rFonts w:hint="default" w:ascii="Times New Roman" w:hAnsi="Times New Roman" w:eastAsia="宋体" w:cs="Times New Roman"/>
                <w:b w:val="0"/>
                <w:color w:val="auto"/>
                <w:sz w:val="24"/>
                <w:highlight w:val="none"/>
                <w:lang w:eastAsia="zh-CN"/>
              </w:rPr>
              <w:t>）</w:t>
            </w:r>
            <w:r>
              <w:rPr>
                <w:rFonts w:hint="default" w:ascii="Times New Roman" w:hAnsi="Times New Roman" w:eastAsia="宋体" w:cs="Times New Roman"/>
                <w:b w:val="0"/>
                <w:color w:val="auto"/>
                <w:sz w:val="24"/>
                <w:highlight w:val="none"/>
                <w:lang w:val="en-US" w:eastAsia="zh-CN"/>
              </w:rPr>
              <w:t>施工</w:t>
            </w:r>
            <w:r>
              <w:rPr>
                <w:rFonts w:hint="eastAsia" w:ascii="Times New Roman" w:hAnsi="Times New Roman" w:eastAsia="宋体" w:cs="Times New Roman"/>
                <w:b w:val="0"/>
                <w:color w:val="auto"/>
                <w:sz w:val="24"/>
                <w:highlight w:val="none"/>
                <w:lang w:val="en-US" w:eastAsia="zh-CN"/>
              </w:rPr>
              <w:t>、调试</w:t>
            </w:r>
            <w:r>
              <w:rPr>
                <w:rFonts w:hint="default" w:ascii="Times New Roman" w:hAnsi="Times New Roman" w:eastAsia="宋体" w:cs="Times New Roman"/>
                <w:b w:val="0"/>
                <w:color w:val="auto"/>
                <w:sz w:val="24"/>
                <w:highlight w:val="none"/>
                <w:lang w:val="en-US" w:eastAsia="zh-CN"/>
              </w:rPr>
              <w:t>期间，招标人</w:t>
            </w:r>
            <w:r>
              <w:rPr>
                <w:rFonts w:hint="eastAsia" w:ascii="Times New Roman" w:hAnsi="Times New Roman" w:eastAsia="宋体" w:cs="Times New Roman"/>
                <w:b w:val="0"/>
                <w:color w:val="auto"/>
                <w:sz w:val="24"/>
                <w:highlight w:val="none"/>
                <w:lang w:val="en-US" w:eastAsia="zh-CN"/>
              </w:rPr>
              <w:t>协助中标人解决水、电接驳点事宜</w:t>
            </w:r>
            <w:r>
              <w:rPr>
                <w:rFonts w:hint="default" w:ascii="Times New Roman" w:hAnsi="Times New Roman" w:eastAsia="宋体" w:cs="Times New Roman"/>
                <w:b w:val="0"/>
                <w:color w:val="auto"/>
                <w:sz w:val="24"/>
                <w:highlight w:val="none"/>
                <w:lang w:val="en-US" w:eastAsia="zh-CN"/>
              </w:rPr>
              <w:t>，但施工</w:t>
            </w:r>
            <w:r>
              <w:rPr>
                <w:rFonts w:hint="eastAsia" w:ascii="Times New Roman" w:hAnsi="Times New Roman" w:eastAsia="宋体" w:cs="Times New Roman"/>
                <w:b w:val="0"/>
                <w:color w:val="auto"/>
                <w:sz w:val="24"/>
                <w:highlight w:val="none"/>
                <w:lang w:val="en-US" w:eastAsia="zh-CN"/>
              </w:rPr>
              <w:t>、</w:t>
            </w:r>
            <w:r>
              <w:rPr>
                <w:rFonts w:hint="default" w:ascii="Times New Roman" w:hAnsi="Times New Roman" w:eastAsia="宋体" w:cs="Times New Roman"/>
                <w:b w:val="0"/>
                <w:color w:val="auto"/>
                <w:sz w:val="24"/>
                <w:highlight w:val="none"/>
                <w:lang w:val="en-US" w:eastAsia="zh-CN"/>
              </w:rPr>
              <w:t>调试期间产生</w:t>
            </w:r>
            <w:r>
              <w:rPr>
                <w:rFonts w:hint="eastAsia" w:ascii="Times New Roman" w:hAnsi="Times New Roman" w:eastAsia="宋体" w:cs="Times New Roman"/>
                <w:b w:val="0"/>
                <w:color w:val="auto"/>
                <w:sz w:val="24"/>
                <w:highlight w:val="none"/>
                <w:lang w:val="en-US" w:eastAsia="zh-CN"/>
              </w:rPr>
              <w:t>所有</w:t>
            </w:r>
            <w:r>
              <w:rPr>
                <w:rFonts w:hint="default" w:ascii="Times New Roman" w:hAnsi="Times New Roman" w:eastAsia="宋体" w:cs="Times New Roman"/>
                <w:b w:val="0"/>
                <w:color w:val="auto"/>
                <w:sz w:val="24"/>
                <w:highlight w:val="none"/>
                <w:lang w:val="en-US" w:eastAsia="zh-CN"/>
              </w:rPr>
              <w:t>水电费由中标人</w:t>
            </w:r>
            <w:r>
              <w:rPr>
                <w:rFonts w:hint="eastAsia" w:ascii="Times New Roman" w:hAnsi="Times New Roman" w:eastAsia="宋体" w:cs="Times New Roman"/>
                <w:b w:val="0"/>
                <w:color w:val="auto"/>
                <w:sz w:val="24"/>
                <w:highlight w:val="none"/>
                <w:lang w:val="en-US" w:eastAsia="zh-CN"/>
              </w:rPr>
              <w:t>自行</w:t>
            </w:r>
            <w:r>
              <w:rPr>
                <w:rFonts w:hint="default" w:ascii="Times New Roman" w:hAnsi="Times New Roman" w:eastAsia="宋体" w:cs="Times New Roman"/>
                <w:b w:val="0"/>
                <w:color w:val="auto"/>
                <w:sz w:val="24"/>
                <w:highlight w:val="none"/>
                <w:lang w:val="en-US" w:eastAsia="zh-CN"/>
              </w:rPr>
              <w:t>承担</w:t>
            </w:r>
            <w:r>
              <w:rPr>
                <w:rFonts w:hint="eastAsia" w:ascii="Times New Roman" w:hAnsi="Times New Roman" w:eastAsia="宋体" w:cs="Times New Roman"/>
                <w:b w:val="0"/>
                <w:color w:val="auto"/>
                <w:sz w:val="24"/>
                <w:highlight w:val="none"/>
                <w:lang w:val="en-US" w:eastAsia="zh-CN"/>
              </w:rPr>
              <w:t>，均含在投标报价内</w:t>
            </w:r>
            <w:r>
              <w:rPr>
                <w:rFonts w:hint="default" w:ascii="Times New Roman" w:hAnsi="Times New Roman" w:eastAsia="宋体" w:cs="Times New Roman"/>
                <w:b w:val="0"/>
                <w:color w:val="auto"/>
                <w:sz w:val="24"/>
                <w:highlight w:val="none"/>
                <w:lang w:val="en-US" w:eastAsia="zh-CN"/>
              </w:rPr>
              <w:t>。</w:t>
            </w:r>
          </w:p>
          <w:p>
            <w:pPr>
              <w:pStyle w:val="20"/>
              <w:widowControl w:val="0"/>
              <w:spacing w:before="0" w:beforeAutospacing="0" w:after="0" w:afterAutospacing="0" w:line="360" w:lineRule="auto"/>
              <w:jc w:val="both"/>
              <w:rPr>
                <w:rFonts w:hint="eastAsia" w:ascii="Times New Roman" w:hAnsi="Times New Roman" w:eastAsia="宋体" w:cs="Times New Roman"/>
                <w:b w:val="0"/>
                <w:color w:val="auto"/>
                <w:sz w:val="24"/>
                <w:highlight w:val="none"/>
                <w:lang w:val="en-US" w:eastAsia="zh-CN"/>
              </w:rPr>
            </w:pPr>
            <w:r>
              <w:rPr>
                <w:rFonts w:hint="eastAsia" w:ascii="Times New Roman" w:hAnsi="Times New Roman" w:eastAsia="宋体" w:cs="Times New Roman"/>
                <w:b w:val="0"/>
                <w:color w:val="auto"/>
                <w:sz w:val="24"/>
                <w:highlight w:val="none"/>
                <w:lang w:val="en-US" w:eastAsia="zh-CN"/>
              </w:rPr>
              <w:t>（6）</w:t>
            </w:r>
            <w:r>
              <w:rPr>
                <w:rFonts w:hint="default" w:ascii="Times New Roman" w:hAnsi="Times New Roman" w:eastAsia="宋体" w:cs="Times New Roman"/>
                <w:b w:val="0"/>
                <w:color w:val="auto"/>
                <w:sz w:val="24"/>
                <w:highlight w:val="none"/>
                <w:lang w:val="en-US" w:eastAsia="zh-CN"/>
              </w:rPr>
              <w:t>施工期间，</w:t>
            </w:r>
            <w:r>
              <w:rPr>
                <w:rFonts w:hint="eastAsia" w:ascii="Times New Roman" w:hAnsi="Times New Roman" w:eastAsia="宋体" w:cs="Times New Roman"/>
                <w:b w:val="0"/>
                <w:color w:val="auto"/>
                <w:sz w:val="24"/>
                <w:highlight w:val="none"/>
                <w:lang w:val="en-US" w:eastAsia="zh-CN"/>
              </w:rPr>
              <w:t>中标人须无条件服从小区物业公司管理，须按其规定缴纳可能产生的费用及相关保证金、押金等。</w:t>
            </w:r>
          </w:p>
          <w:p>
            <w:pPr>
              <w:pStyle w:val="20"/>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lang w:val="en-US" w:eastAsia="zh-CN"/>
              </w:rPr>
            </w:pPr>
            <w:r>
              <w:rPr>
                <w:rFonts w:hint="eastAsia" w:ascii="Times New Roman" w:hAnsi="Times New Roman" w:eastAsia="宋体" w:cs="Times New Roman"/>
                <w:b w:val="0"/>
                <w:color w:val="auto"/>
                <w:sz w:val="24"/>
                <w:highlight w:val="none"/>
                <w:lang w:val="en-US" w:eastAsia="zh-CN"/>
              </w:rPr>
              <w:t>（7）项目位于已建成交付的小区内，中标人施工、调试期间，须采取有效的成品保护措施，以及噪音施工需规避的时间，如因中标人原因造成现场成品损坏的，中标人须无条件维修、恢复至原样，否则，招标人直接拒绝付款。</w:t>
            </w:r>
          </w:p>
          <w:p>
            <w:pPr>
              <w:pStyle w:val="20"/>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lang w:val="en-US" w:eastAsia="zh-CN"/>
              </w:rPr>
            </w:pPr>
            <w:r>
              <w:rPr>
                <w:rFonts w:hint="eastAsia" w:ascii="Times New Roman" w:hAnsi="Times New Roman" w:eastAsia="宋体" w:cs="Times New Roman"/>
                <w:b w:val="0"/>
                <w:color w:val="auto"/>
                <w:sz w:val="24"/>
                <w:highlight w:val="none"/>
                <w:lang w:val="en-US" w:eastAsia="zh-CN"/>
              </w:rPr>
              <w:t>（8）因特殊原因经招标人书面确认后，工期可予以相应顺延。</w:t>
            </w:r>
          </w:p>
          <w:p>
            <w:pPr>
              <w:pStyle w:val="20"/>
              <w:widowControl w:val="0"/>
              <w:spacing w:before="0" w:beforeAutospacing="0" w:after="0" w:afterAutospacing="0" w:line="360" w:lineRule="auto"/>
              <w:jc w:val="both"/>
              <w:rPr>
                <w:rFonts w:hint="eastAsia" w:ascii="Times New Roman" w:hAnsi="Times New Roman" w:eastAsia="宋体" w:cs="Times New Roman"/>
                <w:b w:val="0"/>
                <w:color w:val="auto"/>
                <w:sz w:val="24"/>
                <w:highlight w:val="none"/>
                <w:lang w:val="en-US" w:eastAsia="zh-CN"/>
              </w:rPr>
            </w:pPr>
            <w:r>
              <w:rPr>
                <w:rFonts w:hint="eastAsia" w:ascii="Times New Roman" w:hAnsi="Times New Roman" w:eastAsia="宋体" w:cs="Times New Roman"/>
                <w:b w:val="0"/>
                <w:color w:val="auto"/>
                <w:sz w:val="24"/>
                <w:highlight w:val="none"/>
                <w:lang w:val="en-US" w:eastAsia="zh-CN"/>
              </w:rPr>
              <w:t>（9）中标人须无条件做好现场安全文明施工，包含但不限于用电安全、消防安全、登高作业安全、施工区域的全封闭、必要的施工告知牌、临时导视牌等，同时，须做到“工完料尽场地清”，施工垃圾不得在施工区域以外的其他任何区域堆放。</w:t>
            </w:r>
          </w:p>
          <w:p>
            <w:pPr>
              <w:pStyle w:val="20"/>
              <w:widowControl w:val="0"/>
              <w:spacing w:before="0" w:beforeAutospacing="0" w:after="0" w:afterAutospacing="0" w:line="360" w:lineRule="auto"/>
              <w:jc w:val="both"/>
              <w:rPr>
                <w:rFonts w:hint="eastAsia" w:ascii="Times New Roman" w:hAnsi="Times New Roman" w:eastAsia="宋体" w:cs="Times New Roman"/>
                <w:b w:val="0"/>
                <w:color w:val="auto"/>
                <w:sz w:val="24"/>
                <w:highlight w:val="none"/>
                <w:lang w:val="en-US" w:eastAsia="zh-CN"/>
              </w:rPr>
            </w:pPr>
            <w:r>
              <w:rPr>
                <w:rFonts w:hint="eastAsia" w:ascii="Times New Roman" w:hAnsi="Times New Roman" w:eastAsia="宋体" w:cs="Times New Roman"/>
                <w:b w:val="0"/>
                <w:color w:val="auto"/>
                <w:sz w:val="24"/>
                <w:highlight w:val="none"/>
                <w:lang w:val="en-US" w:eastAsia="zh-CN"/>
              </w:rPr>
              <w:t>（10）竣工验收前，中标人须对现场进行精细化保洁，由此产生的一切费用均包含在投标报价中，由中标人自行承担。</w:t>
            </w:r>
          </w:p>
          <w:p>
            <w:pPr>
              <w:pStyle w:val="20"/>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20"/>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解释权</w:t>
            </w:r>
          </w:p>
        </w:tc>
        <w:tc>
          <w:tcPr>
            <w:tcW w:w="6292" w:type="dxa"/>
            <w:noWrap w:val="0"/>
            <w:vAlign w:val="center"/>
          </w:tcPr>
          <w:p>
            <w:pPr>
              <w:spacing w:line="360" w:lineRule="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（1）构成本招标文件的各个组成文件应互为解释，互为说明；</w:t>
            </w:r>
          </w:p>
          <w:p>
            <w:pPr>
              <w:spacing w:line="360" w:lineRule="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（2）同一组成文件中就同一事项的规定或约定不一致的，除招标文件另有规定外，以编排顺序在后者为准；</w:t>
            </w:r>
          </w:p>
          <w:p>
            <w:pPr>
              <w:spacing w:line="360" w:lineRule="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（3）如有不明确或不一致，构成合同文件组成内容的，以合同文件约定内容为准，且以专用合同条款约定的合同文件优先顺序解释；</w:t>
            </w:r>
          </w:p>
          <w:p>
            <w:pPr>
              <w:spacing w:line="360" w:lineRule="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（4）除招标文件中有特别规定外，仅适用于招标投标阶段的规定，按投标邀请、投标人须知、评标方法和标准、投标文件格式的先后顺序解释；</w:t>
            </w:r>
          </w:p>
          <w:p>
            <w:pPr>
              <w:spacing w:line="360" w:lineRule="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（5）按本款前述规定仍不能形成结论的，由</w:t>
            </w:r>
            <w:r>
              <w:rPr>
                <w:rFonts w:hint="default" w:ascii="Times New Roman" w:hAnsi="Times New Roman" w:eastAsia="宋体" w:cs="Times New Roman"/>
                <w:bCs/>
                <w:color w:val="auto"/>
                <w:sz w:val="24"/>
                <w:szCs w:val="24"/>
                <w:highlight w:val="none"/>
                <w:lang w:eastAsia="zh-CN"/>
              </w:rPr>
              <w:t>招标人</w:t>
            </w:r>
            <w:r>
              <w:rPr>
                <w:rFonts w:hint="default" w:ascii="Times New Roman" w:hAnsi="Times New Roman" w:eastAsia="宋体" w:cs="Times New Roman"/>
                <w:bCs/>
                <w:color w:val="auto"/>
                <w:sz w:val="24"/>
                <w:szCs w:val="24"/>
                <w:highlight w:val="none"/>
              </w:rPr>
              <w:t>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57" w:type="dxa"/>
            <w:noWrap w:val="0"/>
            <w:vAlign w:val="center"/>
          </w:tcPr>
          <w:p>
            <w:pPr>
              <w:pStyle w:val="20"/>
              <w:widowControl w:val="0"/>
              <w:spacing w:before="0" w:beforeAutospacing="0" w:after="0" w:afterAutospacing="0" w:line="360" w:lineRule="auto"/>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其他补充说明</w:t>
            </w:r>
          </w:p>
        </w:tc>
        <w:tc>
          <w:tcPr>
            <w:tcW w:w="6292" w:type="dxa"/>
            <w:noWrap w:val="0"/>
            <w:vAlign w:val="center"/>
          </w:tcPr>
          <w:p>
            <w:pPr>
              <w:spacing w:line="360" w:lineRule="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 xml:space="preserve">1.本项目投标文件要求详见本须知前附表，投标文件现场递交，无需上传电子投标文件。 </w:t>
            </w:r>
          </w:p>
          <w:p>
            <w:pPr>
              <w:spacing w:line="360" w:lineRule="auto"/>
              <w:rPr>
                <w:rFonts w:hint="default" w:ascii="Times New Roman" w:hAnsi="Times New Roman" w:eastAsia="宋体" w:cs="Times New Roman"/>
                <w:bCs/>
                <w:color w:val="auto"/>
                <w:sz w:val="24"/>
                <w:szCs w:val="24"/>
                <w:highlight w:val="none"/>
                <w:u w:val="single"/>
              </w:rPr>
            </w:pPr>
            <w:r>
              <w:rPr>
                <w:rFonts w:hint="default" w:ascii="Times New Roman" w:hAnsi="Times New Roman" w:eastAsia="宋体" w:cs="Times New Roman"/>
                <w:bCs/>
                <w:color w:val="auto"/>
                <w:sz w:val="24"/>
                <w:szCs w:val="24"/>
                <w:highlight w:val="none"/>
              </w:rPr>
              <w:t>2.</w:t>
            </w:r>
            <w:r>
              <w:rPr>
                <w:rFonts w:hint="default" w:ascii="Times New Roman" w:hAnsi="Times New Roman" w:cs="Times New Roman"/>
                <w:color w:val="auto"/>
                <w:highlight w:val="none"/>
              </w:rPr>
              <w:t xml:space="preserve"> </w:t>
            </w:r>
            <w:r>
              <w:rPr>
                <w:rFonts w:hint="default" w:ascii="Times New Roman" w:hAnsi="Times New Roman" w:eastAsia="宋体" w:cs="Times New Roman"/>
                <w:bCs/>
                <w:color w:val="auto"/>
                <w:sz w:val="24"/>
                <w:szCs w:val="24"/>
                <w:highlight w:val="none"/>
              </w:rPr>
              <w:t>本项目资金来源：自筹</w:t>
            </w:r>
          </w:p>
        </w:tc>
      </w:tr>
    </w:tbl>
    <w:p>
      <w:pPr>
        <w:pStyle w:val="4"/>
        <w:ind w:firstLine="1355" w:firstLineChars="500"/>
        <w:rPr>
          <w:rFonts w:hint="default" w:ascii="Times New Roman" w:hAnsi="Times New Roman" w:cs="Times New Roman"/>
          <w:color w:val="auto"/>
          <w:sz w:val="20"/>
          <w:highlight w:val="none"/>
        </w:rPr>
      </w:pPr>
      <w:r>
        <w:rPr>
          <w:rFonts w:hint="default" w:ascii="Times New Roman" w:hAnsi="Times New Roman" w:cs="Times New Roman"/>
          <w:color w:val="auto"/>
          <w:sz w:val="27"/>
          <w:highlight w:val="none"/>
        </w:rPr>
        <w:br w:type="page"/>
      </w:r>
      <w:r>
        <w:rPr>
          <w:rFonts w:hint="default" w:ascii="Times New Roman" w:hAnsi="Times New Roman" w:cs="Times New Roman"/>
          <w:color w:val="auto"/>
          <w:highlight w:val="none"/>
        </w:rPr>
        <w:t xml:space="preserve">附录 1 资格审查条件(资质最低条件) </w:t>
      </w:r>
    </w:p>
    <w:tbl>
      <w:tblPr>
        <w:tblStyle w:val="16"/>
        <w:tblpPr w:leftFromText="180" w:rightFromText="180" w:vertAnchor="text" w:horzAnchor="page" w:tblpXSpec="center" w:tblpY="240"/>
        <w:tblOverlap w:val="never"/>
        <w:tblW w:w="495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5000" w:type="pct"/>
            <w:noWrap w:val="0"/>
            <w:vAlign w:val="center"/>
          </w:tcPr>
          <w:p>
            <w:pPr>
              <w:pStyle w:val="21"/>
              <w:spacing w:before="66"/>
              <w:ind w:right="3182"/>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bCs/>
                <w:color w:val="auto"/>
                <w:kern w:val="2"/>
                <w:sz w:val="24"/>
                <w:szCs w:val="24"/>
                <w:highlight w:val="none"/>
                <w:lang w:val="en-US" w:eastAsia="zh-CN" w:bidi="ar-SA"/>
              </w:rPr>
              <w:t xml:space="preserve">                        资质证书及其他要求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9" w:hRule="atLeast"/>
          <w:jc w:val="center"/>
        </w:trPr>
        <w:tc>
          <w:tcPr>
            <w:tcW w:w="5000" w:type="pct"/>
            <w:noWrap w:val="0"/>
            <w:vAlign w:val="top"/>
          </w:tcPr>
          <w:p>
            <w:pPr>
              <w:pStyle w:val="21"/>
              <w:numPr>
                <w:ilvl w:val="0"/>
                <w:numId w:val="0"/>
              </w:numPr>
              <w:tabs>
                <w:tab w:val="left" w:pos="688"/>
              </w:tabs>
              <w:spacing w:before="123" w:after="0" w:line="360" w:lineRule="auto"/>
              <w:ind w:left="526" w:leftChars="0" w:right="0" w:rightChars="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3"/>
                <w:sz w:val="24"/>
                <w:szCs w:val="24"/>
                <w:highlight w:val="none"/>
                <w:lang w:val="en-US" w:eastAsia="zh-CN"/>
              </w:rPr>
              <w:t>1、</w:t>
            </w:r>
            <w:r>
              <w:rPr>
                <w:rFonts w:hint="default" w:ascii="Times New Roman" w:hAnsi="Times New Roman" w:eastAsia="宋体" w:cs="Times New Roman"/>
                <w:color w:val="auto"/>
                <w:spacing w:val="-3"/>
                <w:sz w:val="24"/>
                <w:szCs w:val="24"/>
                <w:highlight w:val="none"/>
              </w:rPr>
              <w:t>具备有效的营业执照</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pacing w:val="-3"/>
                <w:sz w:val="24"/>
                <w:szCs w:val="24"/>
                <w:highlight w:val="none"/>
              </w:rPr>
              <w:t>事业单位法人证书。</w:t>
            </w:r>
          </w:p>
          <w:p>
            <w:pPr>
              <w:pStyle w:val="21"/>
              <w:numPr>
                <w:ilvl w:val="0"/>
                <w:numId w:val="0"/>
              </w:numPr>
              <w:tabs>
                <w:tab w:val="left" w:pos="688"/>
              </w:tabs>
              <w:spacing w:before="0" w:after="0" w:line="360" w:lineRule="auto"/>
              <w:ind w:left="526" w:leftChars="0" w:right="0" w:rightChars="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3"/>
                <w:sz w:val="24"/>
                <w:szCs w:val="24"/>
                <w:highlight w:val="none"/>
                <w:lang w:val="en-US" w:eastAsia="zh-CN"/>
              </w:rPr>
              <w:t>2、</w:t>
            </w:r>
            <w:r>
              <w:rPr>
                <w:rFonts w:hint="default" w:ascii="Times New Roman" w:hAnsi="Times New Roman" w:eastAsia="宋体" w:cs="Times New Roman"/>
                <w:color w:val="auto"/>
                <w:spacing w:val="-3"/>
                <w:sz w:val="24"/>
                <w:szCs w:val="24"/>
                <w:highlight w:val="none"/>
              </w:rPr>
              <w:t>具备有效的资质证书（见招标公告要求</w:t>
            </w:r>
            <w:r>
              <w:rPr>
                <w:rFonts w:hint="default" w:ascii="Times New Roman" w:hAnsi="Times New Roman" w:eastAsia="宋体" w:cs="Times New Roman"/>
                <w:color w:val="auto"/>
                <w:spacing w:val="-3"/>
                <w:sz w:val="24"/>
                <w:szCs w:val="24"/>
                <w:highlight w:val="none"/>
                <w:lang w:eastAsia="zh-CN"/>
              </w:rPr>
              <w:t>）</w:t>
            </w:r>
            <w:r>
              <w:rPr>
                <w:rFonts w:hint="default" w:ascii="Times New Roman" w:hAnsi="Times New Roman" w:eastAsia="宋体" w:cs="Times New Roman"/>
                <w:color w:val="auto"/>
                <w:sz w:val="24"/>
                <w:szCs w:val="24"/>
                <w:highlight w:val="none"/>
              </w:rPr>
              <w:t>。</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注：投标人应提供营业执照/事业单位法人证书、资质证书等材料扫描件。</w:t>
      </w:r>
    </w:p>
    <w:p>
      <w:pPr>
        <w:pStyle w:val="6"/>
        <w:keepNext w:val="0"/>
        <w:keepLines w:val="0"/>
        <w:pageBreakBefore w:val="0"/>
        <w:widowControl w:val="0"/>
        <w:kinsoku/>
        <w:wordWrap/>
        <w:overflowPunct/>
        <w:topLinePunct w:val="0"/>
        <w:autoSpaceDE/>
        <w:autoSpaceDN/>
        <w:bidi w:val="0"/>
        <w:adjustRightInd/>
        <w:snapToGrid/>
        <w:spacing w:before="2" w:line="360" w:lineRule="auto"/>
        <w:textAlignment w:val="auto"/>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szCs w:val="18"/>
          <w:highlight w:val="none"/>
        </w:rPr>
        <w:br w:type="page"/>
      </w:r>
    </w:p>
    <w:p>
      <w:pPr>
        <w:pStyle w:val="4"/>
        <w:ind w:left="1959"/>
        <w:rPr>
          <w:rFonts w:hint="default" w:ascii="Times New Roman" w:hAnsi="Times New Roman" w:cs="Times New Roman"/>
          <w:color w:val="auto"/>
          <w:highlight w:val="none"/>
        </w:rPr>
      </w:pPr>
      <w:bookmarkStart w:id="6" w:name="_Toc68098218"/>
      <w:bookmarkStart w:id="7" w:name="_Toc11078138"/>
      <w:bookmarkStart w:id="8" w:name="_Toc38879317"/>
      <w:r>
        <w:rPr>
          <w:rFonts w:hint="default" w:ascii="Times New Roman" w:hAnsi="Times New Roman" w:cs="Times New Roman"/>
          <w:color w:val="auto"/>
          <w:highlight w:val="none"/>
        </w:rPr>
        <w:t>附录2  资格审查条件</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财务最低要求</w:t>
      </w:r>
      <w:r>
        <w:rPr>
          <w:rFonts w:hint="default" w:ascii="Times New Roman" w:hAnsi="Times New Roman" w:cs="Times New Roman"/>
          <w:color w:val="auto"/>
          <w:highlight w:val="none"/>
          <w:lang w:eastAsia="zh-CN"/>
        </w:rPr>
        <w:t>）</w:t>
      </w:r>
      <w:bookmarkEnd w:id="6"/>
      <w:bookmarkEnd w:id="7"/>
      <w:bookmarkEnd w:id="8"/>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3"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360" w:lineRule="auto"/>
              <w:ind w:firstLine="480" w:firstLineChars="200"/>
              <w:jc w:val="left"/>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snapToGrid w:val="0"/>
                <w:color w:val="auto"/>
                <w:kern w:val="0"/>
                <w:sz w:val="24"/>
                <w:szCs w:val="24"/>
                <w:highlight w:val="none"/>
              </w:rPr>
              <w:sym w:font="Wingdings 2" w:char="0052"/>
            </w:r>
            <w:r>
              <w:rPr>
                <w:rFonts w:hint="default" w:ascii="Times New Roman" w:hAnsi="Times New Roman" w:eastAsia="宋体" w:cs="Times New Roman"/>
                <w:bCs/>
                <w:color w:val="auto"/>
                <w:sz w:val="24"/>
                <w:szCs w:val="24"/>
                <w:highlight w:val="none"/>
              </w:rPr>
              <w:t>无需提供。</w:t>
            </w:r>
          </w:p>
          <w:p>
            <w:pPr>
              <w:pStyle w:val="22"/>
              <w:adjustRightInd w:val="0"/>
              <w:snapToGrid w:val="0"/>
              <w:spacing w:line="360" w:lineRule="auto"/>
              <w:ind w:firstLine="480" w:firstLineChars="200"/>
              <w:jc w:val="left"/>
              <w:rPr>
                <w:rFonts w:hint="default" w:ascii="Times New Roman" w:hAnsi="Times New Roman" w:eastAsia="宋体" w:cs="Times New Roman"/>
                <w:bCs/>
                <w:color w:val="auto"/>
                <w:sz w:val="24"/>
                <w:szCs w:val="24"/>
                <w:highlight w:val="none"/>
              </w:rPr>
            </w:pPr>
            <w:r>
              <w:rPr>
                <w:rFonts w:hint="eastAsia" w:ascii="Times New Roman" w:hAnsi="Times New Roman" w:eastAsia="宋体" w:cs="Times New Roman"/>
                <w:bCs/>
                <w:color w:val="auto"/>
                <w:sz w:val="24"/>
                <w:szCs w:val="24"/>
                <w:highlight w:val="none"/>
                <w:lang w:eastAsia="zh-CN"/>
              </w:rPr>
              <w:t>□</w:t>
            </w:r>
            <w:r>
              <w:rPr>
                <w:rFonts w:hint="default" w:ascii="Times New Roman" w:hAnsi="Times New Roman" w:eastAsia="宋体" w:cs="Times New Roman"/>
                <w:bCs/>
                <w:color w:val="auto"/>
                <w:sz w:val="24"/>
                <w:szCs w:val="24"/>
                <w:highlight w:val="none"/>
              </w:rPr>
              <w:t>需提供以下材料：</w:t>
            </w:r>
          </w:p>
          <w:p>
            <w:pPr>
              <w:pStyle w:val="22"/>
              <w:adjustRightInd w:val="0"/>
              <w:snapToGrid w:val="0"/>
              <w:spacing w:line="360" w:lineRule="auto"/>
              <w:ind w:firstLine="480" w:firstLineChars="200"/>
              <w:jc w:val="left"/>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经会计师事务所或审计机构审计的财务会计报表，包括资产负债表、现金流量表、利润表、财务情况说明书</w:t>
            </w:r>
          </w:p>
          <w:p>
            <w:pPr>
              <w:pStyle w:val="22"/>
              <w:adjustRightInd w:val="0"/>
              <w:snapToGrid w:val="0"/>
              <w:rPr>
                <w:rFonts w:hint="default" w:ascii="Times New Roman" w:hAnsi="Times New Roman" w:eastAsia="宋体" w:cs="Times New Roman"/>
                <w:bCs/>
                <w:color w:val="auto"/>
                <w:sz w:val="24"/>
                <w:szCs w:val="24"/>
                <w:highlight w:val="none"/>
              </w:rPr>
            </w:pPr>
          </w:p>
        </w:tc>
      </w:tr>
    </w:tbl>
    <w:p>
      <w:pPr>
        <w:pStyle w:val="22"/>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ascii="Times New Roman" w:hAnsi="Times New Roman" w:cs="Times New Roman"/>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注：证明材料的信息应完整或能充分证明满足评审需要。</w:t>
      </w:r>
    </w:p>
    <w:p>
      <w:pPr>
        <w:pStyle w:val="22"/>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ascii="Times New Roman" w:hAnsi="Times New Roman" w:cs="Times New Roman"/>
          <w:bCs/>
          <w:snapToGrid w:val="0"/>
          <w:color w:val="auto"/>
          <w:kern w:val="0"/>
          <w:sz w:val="24"/>
          <w:szCs w:val="24"/>
          <w:highlight w:val="none"/>
        </w:rPr>
      </w:pPr>
      <w:r>
        <w:rPr>
          <w:rFonts w:hint="default" w:ascii="Times New Roman" w:hAnsi="Times New Roman" w:cs="Times New Roman"/>
          <w:bCs/>
          <w:snapToGrid w:val="0"/>
          <w:color w:val="auto"/>
          <w:kern w:val="0"/>
          <w:sz w:val="24"/>
          <w:szCs w:val="24"/>
          <w:highlight w:val="none"/>
        </w:rPr>
        <w:br w:type="page"/>
      </w:r>
    </w:p>
    <w:p>
      <w:pPr>
        <w:pStyle w:val="4"/>
        <w:ind w:left="1959"/>
        <w:rPr>
          <w:rFonts w:hint="default" w:ascii="Times New Roman" w:hAnsi="Times New Roman" w:cs="Times New Roman"/>
          <w:color w:val="auto"/>
          <w:highlight w:val="none"/>
        </w:rPr>
      </w:pPr>
      <w:bookmarkStart w:id="9" w:name="_bookmark5"/>
      <w:bookmarkEnd w:id="9"/>
      <w:bookmarkStart w:id="10" w:name="附录3  资格审查条件(业绩最低要求)"/>
      <w:bookmarkEnd w:id="10"/>
      <w:r>
        <w:rPr>
          <w:rFonts w:hint="default" w:ascii="Times New Roman" w:hAnsi="Times New Roman" w:cs="Times New Roman"/>
          <w:color w:val="auto"/>
          <w:highlight w:val="none"/>
        </w:rPr>
        <w:t>附录 3 资格审查条件</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业绩最低要求</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 xml:space="preserve"> </w:t>
      </w:r>
    </w:p>
    <w:p>
      <w:pPr>
        <w:pStyle w:val="6"/>
        <w:rPr>
          <w:rFonts w:hint="default" w:ascii="Times New Roman" w:hAnsi="Times New Roman" w:cs="Times New Roman"/>
          <w:color w:val="auto"/>
          <w:sz w:val="20"/>
          <w:highlight w:val="none"/>
        </w:rPr>
      </w:pPr>
    </w:p>
    <w:p>
      <w:pPr>
        <w:pStyle w:val="6"/>
        <w:spacing w:before="12"/>
        <w:rPr>
          <w:rFonts w:hint="default" w:ascii="Times New Roman" w:hAnsi="Times New Roman" w:cs="Times New Roman"/>
          <w:color w:val="auto"/>
          <w:sz w:val="23"/>
          <w:highlight w:val="none"/>
        </w:rPr>
      </w:pPr>
    </w:p>
    <w:tbl>
      <w:tblPr>
        <w:tblStyle w:val="1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000" w:type="pct"/>
            <w:noWrap w:val="0"/>
            <w:vAlign w:val="top"/>
          </w:tcPr>
          <w:p>
            <w:pPr>
              <w:pStyle w:val="21"/>
              <w:spacing w:before="73"/>
              <w:ind w:left="3250" w:right="3135"/>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投标人业绩要求</w:t>
            </w:r>
            <w:r>
              <w:rPr>
                <w:rFonts w:hint="default" w:ascii="Times New Roman" w:hAnsi="Times New Roman" w:eastAsia="宋体" w:cs="Times New Roman"/>
                <w:b/>
                <w:color w:val="auto"/>
                <w:w w:val="168"/>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5000" w:type="pct"/>
            <w:noWrap w:val="0"/>
            <w:vAlign w:val="top"/>
          </w:tcPr>
          <w:p>
            <w:pPr>
              <w:pStyle w:val="21"/>
              <w:rPr>
                <w:rFonts w:hint="default" w:ascii="Times New Roman" w:hAnsi="Times New Roman" w:eastAsia="宋体" w:cs="Times New Roman"/>
                <w:color w:val="auto"/>
                <w:sz w:val="24"/>
                <w:szCs w:val="24"/>
                <w:highlight w:val="none"/>
              </w:rPr>
            </w:pPr>
          </w:p>
          <w:p>
            <w:pPr>
              <w:pStyle w:val="21"/>
              <w:spacing w:before="131"/>
              <w:ind w:left="544"/>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业绩要求见招标公告要求。</w:t>
            </w:r>
          </w:p>
        </w:tc>
      </w:tr>
    </w:tbl>
    <w:p>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18"/>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注：投标人应按下列规定提供业绩证明资料：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1.合同协议书。投标人所提供合同协议书应与监管部门备案的合同协议书（如有）保 持一致，评标结束后若发现不一致的以备案合同协议书为准，并视同提供虚假材料；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2.设计任务已完成的证明文件（如审图合格证或施工许可证或施工许可结果查询网页 截图或竣工验收证明文件）。如果合同协议书和该证明文件中的合同要素不一致，以该证明文件为准。</w:t>
      </w:r>
    </w:p>
    <w:p>
      <w:pPr>
        <w:pStyle w:val="23"/>
        <w:numPr>
          <w:ilvl w:val="0"/>
          <w:numId w:val="0"/>
        </w:numPr>
        <w:tabs>
          <w:tab w:val="left" w:pos="1287"/>
        </w:tabs>
        <w:spacing w:before="1" w:after="0" w:line="393" w:lineRule="auto"/>
        <w:ind w:right="1133" w:rightChars="0"/>
        <w:jc w:val="both"/>
        <w:rPr>
          <w:rFonts w:hint="default" w:ascii="Times New Roman" w:hAnsi="Times New Roman" w:eastAsia="宋体" w:cs="Times New Roman"/>
          <w:color w:val="auto"/>
          <w:kern w:val="2"/>
          <w:sz w:val="28"/>
          <w:highlight w:val="none"/>
          <w:lang w:val="en-US" w:eastAsia="zh-CN" w:bidi="ar-SA"/>
        </w:rPr>
      </w:pPr>
    </w:p>
    <w:p>
      <w:pPr>
        <w:pStyle w:val="23"/>
        <w:numPr>
          <w:ilvl w:val="0"/>
          <w:numId w:val="0"/>
        </w:numPr>
        <w:tabs>
          <w:tab w:val="left" w:pos="1287"/>
        </w:tabs>
        <w:spacing w:before="1" w:after="0" w:line="393" w:lineRule="auto"/>
        <w:ind w:right="1133" w:rightChars="0"/>
        <w:jc w:val="both"/>
        <w:rPr>
          <w:rFonts w:hint="default" w:ascii="Times New Roman" w:hAnsi="Times New Roman" w:eastAsia="宋体" w:cs="Times New Roman"/>
          <w:color w:val="auto"/>
          <w:kern w:val="2"/>
          <w:sz w:val="28"/>
          <w:highlight w:val="none"/>
          <w:lang w:val="en-US" w:eastAsia="zh-CN" w:bidi="ar-SA"/>
        </w:rPr>
      </w:pPr>
    </w:p>
    <w:p>
      <w:pPr>
        <w:pStyle w:val="23"/>
        <w:numPr>
          <w:ilvl w:val="0"/>
          <w:numId w:val="0"/>
        </w:numPr>
        <w:tabs>
          <w:tab w:val="left" w:pos="1287"/>
        </w:tabs>
        <w:spacing w:before="1" w:after="0" w:line="393" w:lineRule="auto"/>
        <w:ind w:right="1133" w:rightChars="0"/>
        <w:jc w:val="both"/>
        <w:rPr>
          <w:rFonts w:hint="default" w:ascii="Times New Roman" w:hAnsi="Times New Roman" w:eastAsia="宋体" w:cs="Times New Roman"/>
          <w:color w:val="auto"/>
          <w:kern w:val="2"/>
          <w:sz w:val="28"/>
          <w:highlight w:val="none"/>
          <w:lang w:val="en-US" w:eastAsia="zh-CN" w:bidi="ar-SA"/>
        </w:rPr>
      </w:pPr>
    </w:p>
    <w:p>
      <w:pPr>
        <w:pStyle w:val="23"/>
        <w:numPr>
          <w:ilvl w:val="0"/>
          <w:numId w:val="0"/>
        </w:numPr>
        <w:tabs>
          <w:tab w:val="left" w:pos="1287"/>
        </w:tabs>
        <w:spacing w:before="1" w:after="0" w:line="393" w:lineRule="auto"/>
        <w:ind w:right="1133" w:rightChars="0"/>
        <w:jc w:val="both"/>
        <w:rPr>
          <w:rFonts w:hint="default" w:ascii="Times New Roman" w:hAnsi="Times New Roman" w:eastAsia="宋体" w:cs="Times New Roman"/>
          <w:color w:val="auto"/>
          <w:kern w:val="2"/>
          <w:sz w:val="28"/>
          <w:highlight w:val="none"/>
          <w:lang w:val="en-US" w:eastAsia="zh-CN" w:bidi="ar-SA"/>
        </w:rPr>
      </w:pPr>
    </w:p>
    <w:p>
      <w:pPr>
        <w:pStyle w:val="23"/>
        <w:numPr>
          <w:ilvl w:val="0"/>
          <w:numId w:val="0"/>
        </w:numPr>
        <w:tabs>
          <w:tab w:val="left" w:pos="1287"/>
        </w:tabs>
        <w:spacing w:before="1" w:after="0" w:line="393" w:lineRule="auto"/>
        <w:ind w:right="1133" w:rightChars="0"/>
        <w:jc w:val="both"/>
        <w:rPr>
          <w:rFonts w:hint="default" w:ascii="Times New Roman" w:hAnsi="Times New Roman" w:eastAsia="宋体" w:cs="Times New Roman"/>
          <w:color w:val="auto"/>
          <w:kern w:val="2"/>
          <w:sz w:val="28"/>
          <w:highlight w:val="none"/>
          <w:lang w:val="en-US" w:eastAsia="zh-CN" w:bidi="ar-SA"/>
        </w:rPr>
      </w:pPr>
    </w:p>
    <w:p>
      <w:pPr>
        <w:pStyle w:val="23"/>
        <w:numPr>
          <w:ilvl w:val="0"/>
          <w:numId w:val="0"/>
        </w:numPr>
        <w:tabs>
          <w:tab w:val="left" w:pos="1287"/>
        </w:tabs>
        <w:spacing w:before="1" w:after="0" w:line="393" w:lineRule="auto"/>
        <w:ind w:right="1133" w:rightChars="0"/>
        <w:jc w:val="both"/>
        <w:rPr>
          <w:rFonts w:hint="default" w:ascii="Times New Roman" w:hAnsi="Times New Roman" w:eastAsia="宋体" w:cs="Times New Roman"/>
          <w:color w:val="auto"/>
          <w:kern w:val="2"/>
          <w:sz w:val="28"/>
          <w:highlight w:val="none"/>
          <w:lang w:val="en-US" w:eastAsia="zh-CN" w:bidi="ar-SA"/>
        </w:rPr>
      </w:pPr>
    </w:p>
    <w:p>
      <w:pPr>
        <w:pStyle w:val="4"/>
        <w:rPr>
          <w:rFonts w:hint="default" w:ascii="Times New Roman" w:hAnsi="Times New Roman" w:cs="Times New Roman"/>
          <w:color w:val="auto"/>
          <w:highlight w:val="none"/>
        </w:rPr>
      </w:pPr>
      <w:bookmarkStart w:id="11" w:name="_bookmark6"/>
      <w:bookmarkEnd w:id="11"/>
      <w:bookmarkStart w:id="12" w:name="附录4  资格审查条件(信誉最低要求)"/>
      <w:bookmarkEnd w:id="12"/>
    </w:p>
    <w:p>
      <w:pPr>
        <w:rPr>
          <w:rFonts w:hint="default"/>
        </w:rPr>
      </w:pPr>
    </w:p>
    <w:p>
      <w:pPr>
        <w:pStyle w:val="4"/>
        <w:jc w:val="center"/>
        <w:rPr>
          <w:rFonts w:hint="default" w:ascii="Times New Roman" w:hAnsi="Times New Roman" w:cs="Times New Roman"/>
          <w:color w:val="auto"/>
          <w:sz w:val="20"/>
          <w:highlight w:val="none"/>
        </w:rPr>
      </w:pPr>
      <w:r>
        <w:rPr>
          <w:rFonts w:hint="default" w:ascii="Times New Roman" w:hAnsi="Times New Roman" w:cs="Times New Roman"/>
          <w:color w:val="auto"/>
          <w:highlight w:val="none"/>
        </w:rPr>
        <w:t>附录 4 资格审查条件</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信誉最低要求</w:t>
      </w:r>
      <w:r>
        <w:rPr>
          <w:rFonts w:hint="default" w:ascii="Times New Roman" w:hAnsi="Times New Roman" w:cs="Times New Roman"/>
          <w:color w:val="auto"/>
          <w:highlight w:val="none"/>
          <w:lang w:eastAsia="zh-CN"/>
        </w:rPr>
        <w:t>）</w:t>
      </w:r>
    </w:p>
    <w:p>
      <w:pPr>
        <w:pStyle w:val="6"/>
        <w:spacing w:before="11"/>
        <w:rPr>
          <w:rFonts w:hint="default" w:ascii="Times New Roman" w:hAnsi="Times New Roman" w:cs="Times New Roman"/>
          <w:color w:val="auto"/>
          <w:sz w:val="23"/>
          <w:highlight w:val="none"/>
        </w:rPr>
      </w:pPr>
    </w:p>
    <w:tbl>
      <w:tblPr>
        <w:tblStyle w:val="1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5000" w:type="pct"/>
            <w:noWrap w:val="0"/>
            <w:vAlign w:val="top"/>
          </w:tcPr>
          <w:p>
            <w:pPr>
              <w:pStyle w:val="21"/>
              <w:spacing w:before="46"/>
              <w:ind w:left="3250" w:right="3135"/>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信誉要求</w:t>
            </w:r>
            <w:r>
              <w:rPr>
                <w:rFonts w:hint="default" w:ascii="Times New Roman" w:hAnsi="Times New Roman" w:eastAsia="宋体" w:cs="Times New Roman"/>
                <w:b/>
                <w:color w:val="auto"/>
                <w:w w:val="168"/>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3" w:hRule="atLeast"/>
        </w:trPr>
        <w:tc>
          <w:tcPr>
            <w:tcW w:w="5000" w:type="pct"/>
            <w:noWrap w:val="0"/>
            <w:vAlign w:val="top"/>
          </w:tcPr>
          <w:p>
            <w:pPr>
              <w:pStyle w:val="21"/>
              <w:spacing w:before="11"/>
              <w:rPr>
                <w:rFonts w:hint="default" w:ascii="Times New Roman" w:hAnsi="Times New Roman" w:eastAsia="宋体" w:cs="Times New Roman"/>
                <w:color w:val="auto"/>
                <w:sz w:val="24"/>
                <w:szCs w:val="24"/>
                <w:highlight w:val="none"/>
              </w:rPr>
            </w:pPr>
          </w:p>
          <w:p>
            <w:pPr>
              <w:pStyle w:val="21"/>
              <w:spacing w:before="1" w:line="410" w:lineRule="auto"/>
              <w:ind w:left="107" w:right="94" w:firstLine="436"/>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5"/>
                <w:sz w:val="24"/>
                <w:szCs w:val="24"/>
                <w:highlight w:val="none"/>
              </w:rPr>
              <w:t>投标人未被合肥市及其所辖县</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pacing w:val="-3"/>
                <w:sz w:val="24"/>
                <w:szCs w:val="24"/>
                <w:highlight w:val="none"/>
              </w:rPr>
              <w:t>市</w:t>
            </w:r>
            <w:r>
              <w:rPr>
                <w:rFonts w:hint="default" w:ascii="Times New Roman" w:hAnsi="Times New Roman" w:eastAsia="宋体" w:cs="Times New Roman"/>
                <w:color w:val="auto"/>
                <w:spacing w:val="-22"/>
                <w:sz w:val="24"/>
                <w:szCs w:val="24"/>
                <w:highlight w:val="none"/>
              </w:rPr>
              <w:t>）</w:t>
            </w:r>
            <w:r>
              <w:rPr>
                <w:rFonts w:hint="default" w:ascii="Times New Roman" w:hAnsi="Times New Roman" w:eastAsia="宋体" w:cs="Times New Roman"/>
                <w:color w:val="auto"/>
                <w:spacing w:val="-21"/>
                <w:sz w:val="24"/>
                <w:szCs w:val="24"/>
                <w:highlight w:val="none"/>
              </w:rPr>
              <w:t>、区</w:t>
            </w:r>
            <w:r>
              <w:rPr>
                <w:rFonts w:hint="default" w:ascii="Times New Roman" w:hAnsi="Times New Roman" w:eastAsia="宋体" w:cs="Times New Roman"/>
                <w:color w:val="auto"/>
                <w:spacing w:val="-3"/>
                <w:sz w:val="24"/>
                <w:szCs w:val="24"/>
                <w:highlight w:val="none"/>
              </w:rPr>
              <w:t>（开发区</w:t>
            </w:r>
            <w:r>
              <w:rPr>
                <w:rFonts w:hint="default" w:ascii="Times New Roman" w:hAnsi="Times New Roman" w:eastAsia="宋体" w:cs="Times New Roman"/>
                <w:color w:val="auto"/>
                <w:spacing w:val="-22"/>
                <w:sz w:val="24"/>
                <w:szCs w:val="24"/>
                <w:highlight w:val="none"/>
              </w:rPr>
              <w:t>）</w:t>
            </w:r>
            <w:r>
              <w:rPr>
                <w:rFonts w:hint="default" w:ascii="Times New Roman" w:hAnsi="Times New Roman" w:eastAsia="宋体" w:cs="Times New Roman"/>
                <w:color w:val="auto"/>
                <w:spacing w:val="-3"/>
                <w:sz w:val="24"/>
                <w:szCs w:val="24"/>
                <w:highlight w:val="none"/>
              </w:rPr>
              <w:t>公共资源交易监督管理部门</w:t>
            </w:r>
            <w:r>
              <w:rPr>
                <w:rFonts w:hint="default" w:ascii="Times New Roman" w:hAnsi="Times New Roman" w:eastAsia="宋体" w:cs="Times New Roman"/>
                <w:color w:val="auto"/>
                <w:spacing w:val="-8"/>
                <w:sz w:val="24"/>
                <w:szCs w:val="24"/>
                <w:highlight w:val="none"/>
              </w:rPr>
              <w:t>记不良行为记录的；或被记不良行为记录</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pacing w:val="-3"/>
                <w:sz w:val="24"/>
                <w:szCs w:val="24"/>
                <w:highlight w:val="none"/>
              </w:rPr>
              <w:t>以公布日期为准</w:t>
            </w:r>
            <w:r>
              <w:rPr>
                <w:rFonts w:hint="default" w:ascii="Times New Roman" w:hAnsi="Times New Roman" w:eastAsia="宋体" w:cs="Times New Roman"/>
                <w:color w:val="auto"/>
                <w:spacing w:val="-24"/>
                <w:sz w:val="24"/>
                <w:szCs w:val="24"/>
                <w:highlight w:val="none"/>
              </w:rPr>
              <w:t>）</w:t>
            </w:r>
            <w:r>
              <w:rPr>
                <w:rFonts w:hint="default" w:ascii="Times New Roman" w:hAnsi="Times New Roman" w:eastAsia="宋体" w:cs="Times New Roman"/>
                <w:color w:val="auto"/>
                <w:spacing w:val="-6"/>
                <w:sz w:val="24"/>
                <w:szCs w:val="24"/>
                <w:highlight w:val="none"/>
              </w:rPr>
              <w:t>，但同时符合下列情形的：</w:t>
            </w:r>
          </w:p>
          <w:p>
            <w:pPr>
              <w:pStyle w:val="21"/>
              <w:numPr>
                <w:ilvl w:val="0"/>
                <w:numId w:val="2"/>
              </w:numPr>
              <w:tabs>
                <w:tab w:val="left" w:pos="1074"/>
              </w:tabs>
              <w:spacing w:before="0" w:after="0" w:line="240" w:lineRule="auto"/>
              <w:ind w:left="1073" w:right="0" w:hanging="53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3"/>
                <w:sz w:val="24"/>
                <w:szCs w:val="24"/>
                <w:highlight w:val="none"/>
              </w:rPr>
              <w:t>开标日前（</w:t>
            </w:r>
            <w:r>
              <w:rPr>
                <w:rFonts w:hint="default" w:ascii="Times New Roman" w:hAnsi="Times New Roman" w:eastAsia="宋体" w:cs="Times New Roman"/>
                <w:color w:val="auto"/>
                <w:spacing w:val="-2"/>
                <w:sz w:val="24"/>
                <w:szCs w:val="24"/>
                <w:highlight w:val="none"/>
              </w:rPr>
              <w:t>含当日</w:t>
            </w:r>
            <w:r>
              <w:rPr>
                <w:rFonts w:hint="default" w:ascii="Times New Roman" w:hAnsi="Times New Roman" w:eastAsia="宋体" w:cs="Times New Roman"/>
                <w:color w:val="auto"/>
                <w:sz w:val="24"/>
                <w:szCs w:val="24"/>
                <w:highlight w:val="none"/>
              </w:rPr>
              <w:t>）6</w:t>
            </w:r>
            <w:r>
              <w:rPr>
                <w:rFonts w:hint="default" w:ascii="Times New Roman" w:hAnsi="Times New Roman" w:eastAsia="宋体" w:cs="Times New Roman"/>
                <w:color w:val="auto"/>
                <w:spacing w:val="6"/>
                <w:sz w:val="24"/>
                <w:szCs w:val="24"/>
                <w:highlight w:val="none"/>
              </w:rPr>
              <w:t xml:space="preserve"> </w:t>
            </w:r>
            <w:r>
              <w:rPr>
                <w:rFonts w:hint="default" w:ascii="Times New Roman" w:hAnsi="Times New Roman" w:eastAsia="宋体" w:cs="Times New Roman"/>
                <w:color w:val="auto"/>
                <w:spacing w:val="-9"/>
                <w:sz w:val="24"/>
                <w:szCs w:val="24"/>
                <w:highlight w:val="none"/>
              </w:rPr>
              <w:t xml:space="preserve">个月内记分累计未满 </w:t>
            </w:r>
            <w:r>
              <w:rPr>
                <w:rFonts w:hint="default" w:ascii="Times New Roman" w:hAnsi="Times New Roman" w:eastAsia="宋体" w:cs="Times New Roman"/>
                <w:color w:val="auto"/>
                <w:sz w:val="24"/>
                <w:szCs w:val="24"/>
                <w:highlight w:val="none"/>
              </w:rPr>
              <w:t>10</w:t>
            </w:r>
            <w:r>
              <w:rPr>
                <w:rFonts w:hint="default" w:ascii="Times New Roman" w:hAnsi="Times New Roman" w:eastAsia="宋体" w:cs="Times New Roman"/>
                <w:color w:val="auto"/>
                <w:spacing w:val="3"/>
                <w:sz w:val="24"/>
                <w:szCs w:val="24"/>
                <w:highlight w:val="none"/>
              </w:rPr>
              <w:t xml:space="preserve"> </w:t>
            </w:r>
            <w:r>
              <w:rPr>
                <w:rFonts w:hint="default" w:ascii="Times New Roman" w:hAnsi="Times New Roman" w:eastAsia="宋体" w:cs="Times New Roman"/>
                <w:color w:val="auto"/>
                <w:sz w:val="24"/>
                <w:szCs w:val="24"/>
                <w:highlight w:val="none"/>
              </w:rPr>
              <w:t>分的；</w:t>
            </w:r>
          </w:p>
          <w:p>
            <w:pPr>
              <w:pStyle w:val="21"/>
              <w:numPr>
                <w:ilvl w:val="0"/>
                <w:numId w:val="2"/>
              </w:numPr>
              <w:tabs>
                <w:tab w:val="left" w:pos="1074"/>
              </w:tabs>
              <w:spacing w:before="192" w:after="0" w:line="240" w:lineRule="auto"/>
              <w:ind w:left="1073" w:right="0" w:hanging="53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3"/>
                <w:sz w:val="24"/>
                <w:szCs w:val="24"/>
                <w:highlight w:val="none"/>
              </w:rPr>
              <w:t>开标日前（</w:t>
            </w:r>
            <w:r>
              <w:rPr>
                <w:rFonts w:hint="default" w:ascii="Times New Roman" w:hAnsi="Times New Roman" w:eastAsia="宋体" w:cs="Times New Roman"/>
                <w:color w:val="auto"/>
                <w:spacing w:val="-2"/>
                <w:sz w:val="24"/>
                <w:szCs w:val="24"/>
                <w:highlight w:val="none"/>
              </w:rPr>
              <w:t>含当日</w:t>
            </w:r>
            <w:r>
              <w:rPr>
                <w:rFonts w:hint="default" w:ascii="Times New Roman" w:hAnsi="Times New Roman" w:eastAsia="宋体" w:cs="Times New Roman"/>
                <w:color w:val="auto"/>
                <w:sz w:val="24"/>
                <w:szCs w:val="24"/>
                <w:highlight w:val="none"/>
              </w:rPr>
              <w:t>）12</w:t>
            </w:r>
            <w:r>
              <w:rPr>
                <w:rFonts w:hint="default" w:ascii="Times New Roman" w:hAnsi="Times New Roman" w:eastAsia="宋体" w:cs="Times New Roman"/>
                <w:color w:val="auto"/>
                <w:spacing w:val="10"/>
                <w:sz w:val="24"/>
                <w:szCs w:val="24"/>
                <w:highlight w:val="none"/>
              </w:rPr>
              <w:t xml:space="preserve"> </w:t>
            </w:r>
            <w:r>
              <w:rPr>
                <w:rFonts w:hint="default" w:ascii="Times New Roman" w:hAnsi="Times New Roman" w:eastAsia="宋体" w:cs="Times New Roman"/>
                <w:color w:val="auto"/>
                <w:spacing w:val="-8"/>
                <w:sz w:val="24"/>
                <w:szCs w:val="24"/>
                <w:highlight w:val="none"/>
              </w:rPr>
              <w:t xml:space="preserve">个月内记分累计未满 </w:t>
            </w:r>
            <w:r>
              <w:rPr>
                <w:rFonts w:hint="default" w:ascii="Times New Roman" w:hAnsi="Times New Roman" w:eastAsia="宋体" w:cs="Times New Roman"/>
                <w:color w:val="auto"/>
                <w:sz w:val="24"/>
                <w:szCs w:val="24"/>
                <w:highlight w:val="none"/>
              </w:rPr>
              <w:t>15</w:t>
            </w:r>
            <w:r>
              <w:rPr>
                <w:rFonts w:hint="default" w:ascii="Times New Roman" w:hAnsi="Times New Roman" w:eastAsia="宋体" w:cs="Times New Roman"/>
                <w:color w:val="auto"/>
                <w:spacing w:val="14"/>
                <w:sz w:val="24"/>
                <w:szCs w:val="24"/>
                <w:highlight w:val="none"/>
              </w:rPr>
              <w:t xml:space="preserve"> </w:t>
            </w:r>
            <w:r>
              <w:rPr>
                <w:rFonts w:hint="default" w:ascii="Times New Roman" w:hAnsi="Times New Roman" w:eastAsia="宋体" w:cs="Times New Roman"/>
                <w:color w:val="auto"/>
                <w:spacing w:val="-2"/>
                <w:sz w:val="24"/>
                <w:szCs w:val="24"/>
                <w:highlight w:val="none"/>
              </w:rPr>
              <w:t>分的；</w:t>
            </w:r>
          </w:p>
          <w:p>
            <w:pPr>
              <w:pStyle w:val="21"/>
              <w:numPr>
                <w:ilvl w:val="0"/>
                <w:numId w:val="2"/>
              </w:numPr>
              <w:tabs>
                <w:tab w:val="left" w:pos="1074"/>
              </w:tabs>
              <w:spacing w:before="191" w:after="0" w:line="240" w:lineRule="auto"/>
              <w:ind w:left="1073" w:right="0" w:hanging="53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3"/>
                <w:sz w:val="24"/>
                <w:szCs w:val="24"/>
                <w:highlight w:val="none"/>
              </w:rPr>
              <w:t>开标日前（</w:t>
            </w:r>
            <w:r>
              <w:rPr>
                <w:rFonts w:hint="default" w:ascii="Times New Roman" w:hAnsi="Times New Roman" w:eastAsia="宋体" w:cs="Times New Roman"/>
                <w:color w:val="auto"/>
                <w:spacing w:val="-2"/>
                <w:sz w:val="24"/>
                <w:szCs w:val="24"/>
                <w:highlight w:val="none"/>
              </w:rPr>
              <w:t>含当日</w:t>
            </w:r>
            <w:r>
              <w:rPr>
                <w:rFonts w:hint="default" w:ascii="Times New Roman" w:hAnsi="Times New Roman" w:eastAsia="宋体" w:cs="Times New Roman"/>
                <w:color w:val="auto"/>
                <w:sz w:val="24"/>
                <w:szCs w:val="24"/>
                <w:highlight w:val="none"/>
              </w:rPr>
              <w:t>）18</w:t>
            </w:r>
            <w:r>
              <w:rPr>
                <w:rFonts w:hint="default" w:ascii="Times New Roman" w:hAnsi="Times New Roman" w:eastAsia="宋体" w:cs="Times New Roman"/>
                <w:color w:val="auto"/>
                <w:spacing w:val="10"/>
                <w:sz w:val="24"/>
                <w:szCs w:val="24"/>
                <w:highlight w:val="none"/>
              </w:rPr>
              <w:t xml:space="preserve"> </w:t>
            </w:r>
            <w:r>
              <w:rPr>
                <w:rFonts w:hint="default" w:ascii="Times New Roman" w:hAnsi="Times New Roman" w:eastAsia="宋体" w:cs="Times New Roman"/>
                <w:color w:val="auto"/>
                <w:spacing w:val="-8"/>
                <w:sz w:val="24"/>
                <w:szCs w:val="24"/>
                <w:highlight w:val="none"/>
              </w:rPr>
              <w:t xml:space="preserve">个月内记分累计未满 </w:t>
            </w:r>
            <w:r>
              <w:rPr>
                <w:rFonts w:hint="default" w:ascii="Times New Roman" w:hAnsi="Times New Roman" w:eastAsia="宋体" w:cs="Times New Roman"/>
                <w:color w:val="auto"/>
                <w:sz w:val="24"/>
                <w:szCs w:val="24"/>
                <w:highlight w:val="none"/>
              </w:rPr>
              <w:t>20</w:t>
            </w:r>
            <w:r>
              <w:rPr>
                <w:rFonts w:hint="default" w:ascii="Times New Roman" w:hAnsi="Times New Roman" w:eastAsia="宋体" w:cs="Times New Roman"/>
                <w:color w:val="auto"/>
                <w:spacing w:val="14"/>
                <w:sz w:val="24"/>
                <w:szCs w:val="24"/>
                <w:highlight w:val="none"/>
              </w:rPr>
              <w:t xml:space="preserve"> </w:t>
            </w:r>
            <w:r>
              <w:rPr>
                <w:rFonts w:hint="default" w:ascii="Times New Roman" w:hAnsi="Times New Roman" w:eastAsia="宋体" w:cs="Times New Roman"/>
                <w:color w:val="auto"/>
                <w:spacing w:val="-2"/>
                <w:sz w:val="24"/>
                <w:szCs w:val="24"/>
                <w:highlight w:val="none"/>
              </w:rPr>
              <w:t>分的；</w:t>
            </w:r>
          </w:p>
          <w:p>
            <w:pPr>
              <w:pStyle w:val="21"/>
              <w:numPr>
                <w:ilvl w:val="0"/>
                <w:numId w:val="2"/>
              </w:numPr>
              <w:tabs>
                <w:tab w:val="left" w:pos="1074"/>
              </w:tabs>
              <w:spacing w:before="190" w:after="0" w:line="240" w:lineRule="auto"/>
              <w:ind w:left="1073" w:right="0" w:hanging="53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3"/>
                <w:sz w:val="24"/>
                <w:szCs w:val="24"/>
                <w:highlight w:val="none"/>
              </w:rPr>
              <w:t>开标日前（</w:t>
            </w:r>
            <w:r>
              <w:rPr>
                <w:rFonts w:hint="default" w:ascii="Times New Roman" w:hAnsi="Times New Roman" w:eastAsia="宋体" w:cs="Times New Roman"/>
                <w:color w:val="auto"/>
                <w:spacing w:val="-2"/>
                <w:sz w:val="24"/>
                <w:szCs w:val="24"/>
                <w:highlight w:val="none"/>
              </w:rPr>
              <w:t>含当日</w:t>
            </w:r>
            <w:r>
              <w:rPr>
                <w:rFonts w:hint="default" w:ascii="Times New Roman" w:hAnsi="Times New Roman" w:eastAsia="宋体" w:cs="Times New Roman"/>
                <w:color w:val="auto"/>
                <w:sz w:val="24"/>
                <w:szCs w:val="24"/>
                <w:highlight w:val="none"/>
              </w:rPr>
              <w:t>）24</w:t>
            </w:r>
            <w:r>
              <w:rPr>
                <w:rFonts w:hint="default" w:ascii="Times New Roman" w:hAnsi="Times New Roman" w:eastAsia="宋体" w:cs="Times New Roman"/>
                <w:color w:val="auto"/>
                <w:spacing w:val="10"/>
                <w:sz w:val="24"/>
                <w:szCs w:val="24"/>
                <w:highlight w:val="none"/>
              </w:rPr>
              <w:t xml:space="preserve"> </w:t>
            </w:r>
            <w:r>
              <w:rPr>
                <w:rFonts w:hint="default" w:ascii="Times New Roman" w:hAnsi="Times New Roman" w:eastAsia="宋体" w:cs="Times New Roman"/>
                <w:color w:val="auto"/>
                <w:spacing w:val="-8"/>
                <w:sz w:val="24"/>
                <w:szCs w:val="24"/>
                <w:highlight w:val="none"/>
              </w:rPr>
              <w:t xml:space="preserve">个月内记分累计未满 </w:t>
            </w:r>
            <w:r>
              <w:rPr>
                <w:rFonts w:hint="default" w:ascii="Times New Roman" w:hAnsi="Times New Roman" w:eastAsia="宋体" w:cs="Times New Roman"/>
                <w:color w:val="auto"/>
                <w:sz w:val="24"/>
                <w:szCs w:val="24"/>
                <w:highlight w:val="none"/>
              </w:rPr>
              <w:t>25</w:t>
            </w:r>
            <w:r>
              <w:rPr>
                <w:rFonts w:hint="default" w:ascii="Times New Roman" w:hAnsi="Times New Roman" w:eastAsia="宋体" w:cs="Times New Roman"/>
                <w:color w:val="auto"/>
                <w:spacing w:val="14"/>
                <w:sz w:val="24"/>
                <w:szCs w:val="24"/>
                <w:highlight w:val="none"/>
              </w:rPr>
              <w:t xml:space="preserve"> </w:t>
            </w:r>
            <w:r>
              <w:rPr>
                <w:rFonts w:hint="default" w:ascii="Times New Roman" w:hAnsi="Times New Roman" w:eastAsia="宋体" w:cs="Times New Roman"/>
                <w:color w:val="auto"/>
                <w:spacing w:val="-2"/>
                <w:sz w:val="24"/>
                <w:szCs w:val="24"/>
                <w:highlight w:val="none"/>
              </w:rPr>
              <w:t>分的。</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注：投标人在投标函中承诺，不需要提供相关证明材料。如投标人承诺与实际不符，将视为投标人弄虚作假。</w:t>
      </w:r>
    </w:p>
    <w:p>
      <w:pPr>
        <w:pStyle w:val="3"/>
        <w:spacing w:line="293" w:lineRule="exact"/>
        <w:ind w:left="320"/>
        <w:rPr>
          <w:rFonts w:hint="default" w:ascii="Times New Roman" w:hAnsi="Times New Roman" w:cs="Times New Roman"/>
          <w:color w:val="auto"/>
          <w:sz w:val="32"/>
          <w:highlight w:val="none"/>
        </w:rPr>
      </w:pPr>
    </w:p>
    <w:p>
      <w:pPr>
        <w:rPr>
          <w:rFonts w:hint="default" w:ascii="Times New Roman" w:hAnsi="Times New Roman" w:cs="Times New Roman"/>
          <w:color w:val="auto"/>
        </w:rPr>
        <w:sectPr>
          <w:footerReference r:id="rId3" w:type="default"/>
          <w:pgSz w:w="12240" w:h="15840"/>
          <w:pgMar w:top="2098" w:right="1474" w:bottom="1701" w:left="1588" w:header="869" w:footer="922" w:gutter="0"/>
          <w:pgNumType w:fmt="decimal"/>
          <w:cols w:space="720" w:num="1"/>
        </w:sectPr>
      </w:pPr>
    </w:p>
    <w:p>
      <w:pPr>
        <w:pStyle w:val="4"/>
        <w:spacing w:before="107"/>
        <w:ind w:firstLine="964" w:firstLineChars="300"/>
        <w:jc w:val="center"/>
        <w:rPr>
          <w:rFonts w:hint="default" w:ascii="Times New Roman" w:hAnsi="Times New Roman" w:cs="Times New Roman"/>
          <w:color w:val="auto"/>
          <w:sz w:val="23"/>
          <w:highlight w:val="none"/>
        </w:rPr>
      </w:pPr>
      <w:bookmarkStart w:id="13" w:name="附录5  资格审查条件（项目负责人最低要求）"/>
      <w:bookmarkEnd w:id="13"/>
      <w:bookmarkStart w:id="14" w:name="_bookmark7"/>
      <w:bookmarkEnd w:id="14"/>
      <w:r>
        <w:rPr>
          <w:rFonts w:hint="default" w:ascii="Times New Roman" w:hAnsi="Times New Roman" w:cs="Times New Roman"/>
          <w:color w:val="auto"/>
          <w:highlight w:val="none"/>
        </w:rPr>
        <w:t>附录 5 资格审查条件（项目负责人最低要求）</w:t>
      </w:r>
    </w:p>
    <w:tbl>
      <w:tblPr>
        <w:tblStyle w:val="16"/>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444"/>
        <w:gridCol w:w="6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330" w:type="pct"/>
            <w:noWrap w:val="0"/>
            <w:vAlign w:val="top"/>
          </w:tcPr>
          <w:p>
            <w:pPr>
              <w:pStyle w:val="21"/>
              <w:spacing w:before="138"/>
              <w:ind w:left="1000" w:right="886"/>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人员</w:t>
            </w:r>
            <w:r>
              <w:rPr>
                <w:rFonts w:hint="default" w:ascii="Times New Roman" w:hAnsi="Times New Roman" w:eastAsia="宋体" w:cs="Times New Roman"/>
                <w:b/>
                <w:color w:val="auto"/>
                <w:w w:val="168"/>
                <w:sz w:val="24"/>
                <w:szCs w:val="24"/>
                <w:highlight w:val="none"/>
              </w:rPr>
              <w:t xml:space="preserve"> </w:t>
            </w:r>
          </w:p>
        </w:tc>
        <w:tc>
          <w:tcPr>
            <w:tcW w:w="3669" w:type="pct"/>
            <w:noWrap w:val="0"/>
            <w:vAlign w:val="top"/>
          </w:tcPr>
          <w:p>
            <w:pPr>
              <w:pStyle w:val="21"/>
              <w:spacing w:before="138"/>
              <w:ind w:left="2861" w:right="2748"/>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资格要求</w:t>
            </w:r>
            <w:r>
              <w:rPr>
                <w:rFonts w:hint="default" w:ascii="Times New Roman" w:hAnsi="Times New Roman" w:eastAsia="宋体" w:cs="Times New Roman"/>
                <w:b/>
                <w:color w:val="auto"/>
                <w:w w:val="168"/>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1330" w:type="pct"/>
            <w:noWrap w:val="0"/>
            <w:vAlign w:val="top"/>
          </w:tcPr>
          <w:p>
            <w:pPr>
              <w:pStyle w:val="21"/>
              <w:spacing w:before="3"/>
              <w:rPr>
                <w:rFonts w:hint="default" w:ascii="Times New Roman" w:hAnsi="Times New Roman" w:eastAsia="宋体" w:cs="Times New Roman"/>
                <w:color w:val="auto"/>
                <w:sz w:val="24"/>
                <w:szCs w:val="24"/>
                <w:highlight w:val="none"/>
              </w:rPr>
            </w:pPr>
          </w:p>
          <w:p>
            <w:pPr>
              <w:pStyle w:val="21"/>
              <w:ind w:left="65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项目负责人</w:t>
            </w:r>
          </w:p>
        </w:tc>
        <w:tc>
          <w:tcPr>
            <w:tcW w:w="3669" w:type="pct"/>
            <w:noWrap w:val="0"/>
            <w:vAlign w:val="top"/>
          </w:tcPr>
          <w:p>
            <w:pPr>
              <w:pStyle w:val="21"/>
              <w:numPr>
                <w:ilvl w:val="0"/>
                <w:numId w:val="0"/>
              </w:numPr>
              <w:tabs>
                <w:tab w:val="left" w:pos="638"/>
              </w:tabs>
              <w:spacing w:before="1" w:after="0" w:line="240" w:lineRule="auto"/>
              <w:ind w:left="637" w:leftChars="0" w:right="0" w:rightChars="0" w:hanging="530" w:firstLineChars="0"/>
              <w:jc w:val="left"/>
              <w:rPr>
                <w:rFonts w:hint="default" w:ascii="Times New Roman" w:hAnsi="Times New Roman" w:eastAsia="宋体" w:cs="Times New Roman"/>
                <w:color w:val="auto"/>
                <w:sz w:val="24"/>
                <w:szCs w:val="24"/>
                <w:highlight w:val="none"/>
              </w:rPr>
            </w:pPr>
            <w:r>
              <w:rPr>
                <w:rFonts w:hint="default" w:ascii="宋体" w:hAnsi="宋体" w:eastAsia="宋体" w:cs="宋体"/>
                <w:color w:val="auto"/>
                <w:spacing w:val="-3"/>
                <w:w w:val="100"/>
                <w:kern w:val="2"/>
                <w:sz w:val="19"/>
                <w:szCs w:val="19"/>
                <w:lang w:val="zh-CN" w:eastAsia="zh-CN" w:bidi="zh-CN"/>
              </w:rPr>
              <w:t>（1）</w:t>
            </w:r>
            <w:r>
              <w:rPr>
                <w:rFonts w:hint="default" w:ascii="Times New Roman" w:hAnsi="Times New Roman" w:eastAsia="宋体" w:cs="Times New Roman"/>
                <w:color w:val="auto"/>
                <w:spacing w:val="-3"/>
                <w:sz w:val="24"/>
                <w:szCs w:val="24"/>
                <w:highlight w:val="none"/>
              </w:rPr>
              <w:t>项目负责人资格条件见招标公告要求。</w:t>
            </w:r>
          </w:p>
          <w:p>
            <w:pPr>
              <w:pStyle w:val="21"/>
              <w:numPr>
                <w:ilvl w:val="0"/>
                <w:numId w:val="0"/>
              </w:numPr>
              <w:tabs>
                <w:tab w:val="left" w:pos="644"/>
              </w:tabs>
              <w:spacing w:before="2" w:after="0" w:line="240" w:lineRule="auto"/>
              <w:ind w:left="643" w:leftChars="0" w:right="0" w:rightChars="0" w:hanging="536" w:firstLineChars="0"/>
              <w:jc w:val="left"/>
              <w:rPr>
                <w:rFonts w:hint="default" w:ascii="Times New Roman" w:hAnsi="Times New Roman" w:eastAsia="宋体" w:cs="Times New Roman"/>
                <w:color w:val="auto"/>
                <w:sz w:val="24"/>
                <w:szCs w:val="24"/>
                <w:highlight w:val="none"/>
              </w:rPr>
            </w:pPr>
            <w:r>
              <w:rPr>
                <w:rFonts w:hint="default" w:ascii="宋体" w:hAnsi="宋体" w:eastAsia="宋体" w:cs="宋体"/>
                <w:color w:val="auto"/>
                <w:spacing w:val="-3"/>
                <w:w w:val="100"/>
                <w:kern w:val="2"/>
                <w:sz w:val="19"/>
                <w:szCs w:val="19"/>
                <w:lang w:val="zh-CN" w:eastAsia="zh-CN" w:bidi="zh-CN"/>
              </w:rPr>
              <w:t>（2）</w:t>
            </w:r>
            <w:r>
              <w:rPr>
                <w:rFonts w:hint="default" w:ascii="Times New Roman" w:hAnsi="Times New Roman" w:eastAsia="宋体" w:cs="Times New Roman"/>
                <w:color w:val="auto"/>
                <w:sz w:val="24"/>
                <w:szCs w:val="24"/>
                <w:highlight w:val="none"/>
              </w:rPr>
              <w:t>项目负责人必须是本单位人员招标公告中要求的注册证书注</w:t>
            </w:r>
          </w:p>
          <w:p>
            <w:pPr>
              <w:pStyle w:val="21"/>
              <w:spacing w:before="4" w:line="250" w:lineRule="exact"/>
              <w:ind w:left="108"/>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册单位（如有）应当与投标人名称一致。</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注：投标文件中提供项目负责人相关证书和社保证明材料扫描件。社保证明材料要求如下：</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投标文件中须提供投标人所属社保机构出具的拟委派的项目负责人 202</w:t>
      </w:r>
      <w:r>
        <w:rPr>
          <w:rFonts w:hint="eastAsia"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en-US" w:eastAsia="zh-CN"/>
        </w:rPr>
        <w:t xml:space="preserve"> 年 1 月 1 日以来任意连续三个月的社保缴费证明材料，项目负责人的社会保险的缴纳单位应当是投标人或者投标人不具备独立法人资格的分支机构。 </w:t>
      </w:r>
    </w:p>
    <w:p>
      <w:pPr>
        <w:pStyle w:val="6"/>
        <w:rPr>
          <w:rFonts w:hint="default" w:ascii="Times New Roman" w:hAnsi="Times New Roman" w:cs="Times New Roman"/>
          <w:color w:val="auto"/>
          <w:sz w:val="20"/>
          <w:highlight w:val="none"/>
        </w:rPr>
      </w:pPr>
    </w:p>
    <w:p>
      <w:pPr>
        <w:pStyle w:val="4"/>
        <w:spacing w:before="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r>
        <w:rPr>
          <w:rFonts w:hint="default" w:ascii="Times New Roman" w:hAnsi="Times New Roman" w:cs="Times New Roman"/>
          <w:color w:val="auto"/>
          <w:highlight w:val="none"/>
        </w:rPr>
        <w:t>附录 6 资格审查条件（其他主要人员最低要求）</w:t>
      </w:r>
    </w:p>
    <w:p>
      <w:pPr>
        <w:spacing w:after="0"/>
        <w:rPr>
          <w:rFonts w:hint="default" w:ascii="Times New Roman" w:hAnsi="Times New Roman" w:cs="Times New Roman"/>
          <w:color w:val="auto"/>
          <w:highlight w:val="none"/>
        </w:rPr>
      </w:pPr>
    </w:p>
    <w:p>
      <w:pPr>
        <w:spacing w:after="0"/>
        <w:rPr>
          <w:rFonts w:hint="default" w:ascii="Times New Roman" w:hAnsi="Times New Roman" w:cs="Times New Roman"/>
          <w:color w:val="auto"/>
          <w:highlight w:val="none"/>
        </w:rPr>
        <w:sectPr>
          <w:pgSz w:w="12240" w:h="15840"/>
          <w:pgMar w:top="2098" w:right="1474" w:bottom="1701" w:left="1588" w:header="869" w:footer="922" w:gutter="0"/>
          <w:pgNumType w:fmt="decimal"/>
          <w:cols w:space="720" w:num="1"/>
        </w:sectPr>
      </w:pPr>
    </w:p>
    <w:p>
      <w:pPr>
        <w:pStyle w:val="4"/>
        <w:ind w:firstLine="1928" w:firstLineChars="600"/>
        <w:rPr>
          <w:rFonts w:hint="default" w:ascii="Times New Roman" w:hAnsi="Times New Roman" w:eastAsia="微软雅黑" w:cs="Times New Roman"/>
          <w:b/>
          <w:color w:val="auto"/>
          <w:highlight w:val="none"/>
        </w:rPr>
      </w:pPr>
      <w:bookmarkStart w:id="15" w:name="_bookmark9"/>
      <w:bookmarkEnd w:id="15"/>
      <w:bookmarkStart w:id="16" w:name="附录7  资格审查条件（其他要求）"/>
      <w:bookmarkEnd w:id="16"/>
      <w:r>
        <w:rPr>
          <w:rFonts w:hint="default" w:ascii="Times New Roman" w:hAnsi="Times New Roman" w:cs="Times New Roman"/>
          <w:color w:val="auto"/>
          <w:highlight w:val="none"/>
        </w:rPr>
        <w:t>附录 7 资格审查条件（其他要求）</w:t>
      </w:r>
    </w:p>
    <w:p>
      <w:pPr>
        <w:pStyle w:val="6"/>
        <w:spacing w:before="2"/>
        <w:rPr>
          <w:rFonts w:hint="default" w:ascii="Times New Roman" w:hAnsi="Times New Roman" w:cs="Times New Roman"/>
          <w:b/>
          <w:color w:val="auto"/>
          <w:sz w:val="28"/>
          <w:highlight w:val="none"/>
        </w:rPr>
      </w:pPr>
      <w:r>
        <w:rPr>
          <w:rFonts w:hint="default" w:ascii="Times New Roman" w:hAnsi="Times New Roman" w:cs="Times New Roman"/>
          <w:color w:val="auto"/>
          <w:highlight w:val="none"/>
        </w:rPr>
        <mc:AlternateContent>
          <mc:Choice Requires="wpg">
            <w:drawing>
              <wp:anchor distT="0" distB="0" distL="114300" distR="114300" simplePos="0" relativeHeight="251660288" behindDoc="1" locked="0" layoutInCell="1" allowOverlap="1">
                <wp:simplePos x="0" y="0"/>
                <wp:positionH relativeFrom="page">
                  <wp:posOffset>1071245</wp:posOffset>
                </wp:positionH>
                <wp:positionV relativeFrom="paragraph">
                  <wp:posOffset>356870</wp:posOffset>
                </wp:positionV>
                <wp:extent cx="5631180" cy="1117600"/>
                <wp:effectExtent l="1905" t="1905" r="5715" b="10795"/>
                <wp:wrapTopAndBottom/>
                <wp:docPr id="205" name="组合 205"/>
                <wp:cNvGraphicFramePr/>
                <a:graphic xmlns:a="http://schemas.openxmlformats.org/drawingml/2006/main">
                  <a:graphicData uri="http://schemas.microsoft.com/office/word/2010/wordprocessingGroup">
                    <wpg:wgp>
                      <wpg:cNvGrpSpPr/>
                      <wpg:grpSpPr>
                        <a:xfrm>
                          <a:off x="0" y="0"/>
                          <a:ext cx="5631180" cy="1117600"/>
                          <a:chOff x="1688" y="563"/>
                          <a:chExt cx="8868" cy="1760"/>
                        </a:xfrm>
                        <a:effectLst/>
                      </wpg:grpSpPr>
                      <wps:wsp>
                        <wps:cNvPr id="199" name="直线 7"/>
                        <wps:cNvCnPr/>
                        <wps:spPr>
                          <a:xfrm>
                            <a:off x="1697" y="567"/>
                            <a:ext cx="8848" cy="0"/>
                          </a:xfrm>
                          <a:prstGeom prst="line">
                            <a:avLst/>
                          </a:prstGeom>
                          <a:ln w="6096" cap="flat" cmpd="sng">
                            <a:solidFill>
                              <a:srgbClr val="000000"/>
                            </a:solidFill>
                            <a:prstDash val="solid"/>
                            <a:headEnd type="none" w="med" len="med"/>
                            <a:tailEnd type="none" w="med" len="med"/>
                          </a:ln>
                          <a:effectLst/>
                        </wps:spPr>
                        <wps:bodyPr upright="1"/>
                      </wps:wsp>
                      <wps:wsp>
                        <wps:cNvPr id="200" name="直线 8"/>
                        <wps:cNvCnPr/>
                        <wps:spPr>
                          <a:xfrm>
                            <a:off x="1697" y="1256"/>
                            <a:ext cx="8848" cy="0"/>
                          </a:xfrm>
                          <a:prstGeom prst="line">
                            <a:avLst/>
                          </a:prstGeom>
                          <a:ln w="6096" cap="flat" cmpd="sng">
                            <a:solidFill>
                              <a:srgbClr val="000000"/>
                            </a:solidFill>
                            <a:prstDash val="solid"/>
                            <a:headEnd type="none" w="med" len="med"/>
                            <a:tailEnd type="none" w="med" len="med"/>
                          </a:ln>
                          <a:effectLst/>
                        </wps:spPr>
                        <wps:bodyPr upright="1"/>
                      </wps:wsp>
                      <wps:wsp>
                        <wps:cNvPr id="201" name="直线 9"/>
                        <wps:cNvCnPr/>
                        <wps:spPr>
                          <a:xfrm>
                            <a:off x="1692" y="563"/>
                            <a:ext cx="0" cy="1759"/>
                          </a:xfrm>
                          <a:prstGeom prst="line">
                            <a:avLst/>
                          </a:prstGeom>
                          <a:ln w="6096" cap="flat" cmpd="sng">
                            <a:solidFill>
                              <a:srgbClr val="000000"/>
                            </a:solidFill>
                            <a:prstDash val="solid"/>
                            <a:headEnd type="none" w="med" len="med"/>
                            <a:tailEnd type="none" w="med" len="med"/>
                          </a:ln>
                          <a:effectLst/>
                        </wps:spPr>
                        <wps:bodyPr upright="1"/>
                      </wps:wsp>
                      <wps:wsp>
                        <wps:cNvPr id="202" name="直线 10"/>
                        <wps:cNvCnPr/>
                        <wps:spPr>
                          <a:xfrm>
                            <a:off x="1697" y="2317"/>
                            <a:ext cx="8848" cy="0"/>
                          </a:xfrm>
                          <a:prstGeom prst="line">
                            <a:avLst/>
                          </a:prstGeom>
                          <a:ln w="6096" cap="flat" cmpd="sng">
                            <a:solidFill>
                              <a:srgbClr val="000000"/>
                            </a:solidFill>
                            <a:prstDash val="solid"/>
                            <a:headEnd type="none" w="med" len="med"/>
                            <a:tailEnd type="none" w="med" len="med"/>
                          </a:ln>
                          <a:effectLst/>
                        </wps:spPr>
                        <wps:bodyPr upright="1"/>
                      </wps:wsp>
                      <wps:wsp>
                        <wps:cNvPr id="203" name="直线 11"/>
                        <wps:cNvCnPr/>
                        <wps:spPr>
                          <a:xfrm>
                            <a:off x="10550" y="563"/>
                            <a:ext cx="0" cy="1759"/>
                          </a:xfrm>
                          <a:prstGeom prst="line">
                            <a:avLst/>
                          </a:prstGeom>
                          <a:ln w="6097" cap="flat" cmpd="sng">
                            <a:solidFill>
                              <a:srgbClr val="000000"/>
                            </a:solidFill>
                            <a:prstDash val="solid"/>
                            <a:headEnd type="none" w="med" len="med"/>
                            <a:tailEnd type="none" w="med" len="med"/>
                          </a:ln>
                          <a:effectLst/>
                        </wps:spPr>
                        <wps:bodyPr upright="1"/>
                      </wps:wsp>
                      <wps:wsp>
                        <wps:cNvPr id="204" name="文本框 12"/>
                        <wps:cNvSpPr txBox="1"/>
                        <wps:spPr>
                          <a:xfrm>
                            <a:off x="5698" y="805"/>
                            <a:ext cx="969" cy="212"/>
                          </a:xfrm>
                          <a:prstGeom prst="rect">
                            <a:avLst/>
                          </a:prstGeom>
                          <a:noFill/>
                          <a:ln>
                            <a:noFill/>
                          </a:ln>
                          <a:effectLst/>
                        </wps:spPr>
                        <wps:txbx>
                          <w:txbxContent>
                            <w:p>
                              <w:pPr>
                                <w:spacing w:before="0" w:line="211" w:lineRule="exact"/>
                                <w:ind w:left="0" w:right="0" w:firstLine="0"/>
                                <w:jc w:val="left"/>
                                <w:rPr>
                                  <w:rFonts w:hint="eastAsia" w:ascii="微软雅黑" w:eastAsia="微软雅黑"/>
                                  <w:b/>
                                  <w:sz w:val="21"/>
                                </w:rPr>
                              </w:pPr>
                              <w:r>
                                <w:rPr>
                                  <w:rFonts w:hint="eastAsia" w:ascii="微软雅黑" w:eastAsia="微软雅黑"/>
                                  <w:b/>
                                  <w:sz w:val="21"/>
                                </w:rPr>
                                <w:t>其他要求</w:t>
                              </w:r>
                            </w:p>
                          </w:txbxContent>
                        </wps:txbx>
                        <wps:bodyPr lIns="0" tIns="0" rIns="0" bIns="0" upright="1"/>
                      </wps:wsp>
                    </wpg:wgp>
                  </a:graphicData>
                </a:graphic>
              </wp:anchor>
            </w:drawing>
          </mc:Choice>
          <mc:Fallback>
            <w:pict>
              <v:group id="_x0000_s1026" o:spid="_x0000_s1026" o:spt="203" style="position:absolute;left:0pt;margin-left:84.35pt;margin-top:28.1pt;height:88pt;width:443.4pt;mso-position-horizontal-relative:page;mso-wrap-distance-bottom:0pt;mso-wrap-distance-top:0pt;z-index:-251656192;mso-width-relative:page;mso-height-relative:page;" coordorigin="1688,563" coordsize="8868,1760" o:gfxdata="UEsDBAoAAAAAAIdO4kAAAAAAAAAAAAAAAAAEAAAAZHJzL1BLAwQUAAAACACHTuJAMrCx6doAAAAL&#10;AQAADwAAAGRycy9kb3ducmV2LnhtbE2PwWrDMBBE74X+g9hAb41kBbvBsRxKaHsKhSaF0ptibWwT&#10;a2UsxU7+vsqpOQ77mHlbrC+2YyMOvnWkIJkLYEiVMy3VCr73789LYD5oMrpzhAqu6GFdPj4UOjdu&#10;oi8cd6FmsYR8rhU0IfQ5575q0Go/dz1SvB3dYHWIcai5GfQUy23HpRAZt7qluNDoHjcNVqfd2Sr4&#10;mPT0ukjexu3puLn+7tPPn22CSj3NErECFvAS/mG46Ud1KKPTwZ3JeNbFnC1fIqogzSSwGyDSNAV2&#10;UCAXUgIvC37/Q/kHUEsDBBQAAAAIAIdO4kAj84eUVwMAABMPAAAOAAAAZHJzL2Uyb0RvYy54bWzt&#10;V09v0zAUvyPxHazcWZNsTdNo6STWbUJCMGnwAdzE+SMltmW7TXtHwJETF7hw58gJDnwatq/Bs5O0&#10;XVhRBxpiUnfoHP95fu/3fn7++fBoXhZoRoTMGQ0tZ8+2EKERi3OahtbLF6ePfAtJhWmMC0ZJaC2I&#10;tI5GDx8cVjwgLstYEROBwAiVQcVDK1OKB72ejDJSYrnHOKEwmDBRYgWfIu3FAldgvSx6rm17vYqJ&#10;mAsWESmhd1wPWo1FsY1BliR5RMYsmpaEqtqqIAVWEJLMci6tkfE2SUiknieJJAoVoQWRKvMLm0B7&#10;on97o0McpALzLI8aF/A2LnRiKnFOYdOlqTFWGE1F/oupMo8EkyxRexEre3UgBhGIwrE72JwJNuUm&#10;ljSoUr4EHRLVQf2PzUbPZucC5XFouXbfQhSXkPKrb69+vHuLdA/gU/E0gGlngl/wc9F0pPWXDnme&#10;iFL/h2DQ3CC7WCJL5gpF0Nn39h3HB9AjGHMcZ+DZDfZRBgnS6xzPB+bBMMyt0xJlJ81y3/dgzKyF&#10;lXq0t9qXmDQ/lUp3a2eXvlUcKCpXuMm/w+0iw5yYdEgNSIObMxwucfvw5errdzSoUTOTjmkDmQwk&#10;oHcDXo43HDRxm4U4aEHz/YMm6m7IXEh1RliJdCO0ipxqv3CAZw0MOGin6O6Coiq0PHvoAYgYzmwC&#10;ZwWaJYe8S5qatZIVeXyaF4VeIUU6OS4EmmF9bsxfg/q1aXqTMZZZPc8M1anLCI5PaIzUggOfKBQS&#10;S7tQkthCBYG6o1uQLxwonBfbzISEF1Qv6KS7xVXnesLiBWRlykWeZoCLY3xuWKCJ/A/oACWuQwdf&#10;e6H3Bs7cgg6O2/dqiHZ8uIE594cPTocPw9vywb1eFls6tNV00DcW1ypie/Z35QFOXV12/5/yANls&#10;btn6tnBMcb99fXD3nd19sflmuT/1Yb9LCHNtbU8Iu9+HUrAunO6uQoBS2QmIpQ6/Ez3p2gctIS7f&#10;v7n8+Pny02vkuGuXhpbhSM0fM62a2/4N6rLvDWtV7ddifqUuhx7oVi2p3dr45vtDwCvqd/KSMi0b&#10;jZqrJdqyY5tDqOaTeSOQGv1WPKGALHBatQ3RNiZtY5PGMw8AeCuZF0LzrtOPsfVv80xYvWVH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KBQAA&#10;W0NvbnRlbnRfVHlwZXNdLnhtbFBLAQIUAAoAAAAAAIdO4kAAAAAAAAAAAAAAAAAGAAAAAAAAAAAA&#10;EAAAAKwEAABfcmVscy9QSwECFAAUAAAACACHTuJAihRmPNEAAACUAQAACwAAAAAAAAABACAAAADQ&#10;BAAAX3JlbHMvLnJlbHNQSwECFAAKAAAAAACHTuJAAAAAAAAAAAAAAAAABAAAAAAAAAAAABAAAAAA&#10;AAAAZHJzL1BLAQIUABQAAAAIAIdO4kAysLHp2gAAAAsBAAAPAAAAAAAAAAEAIAAAACIAAABkcnMv&#10;ZG93bnJldi54bWxQSwECFAAUAAAACACHTuJAI/OHlFcDAAATDwAADgAAAAAAAAABACAAAAApAQAA&#10;ZHJzL2Uyb0RvYy54bWxQSwUGAAAAAAYABgBZAQAA8gYAAAAA&#10;">
                <o:lock v:ext="edit" aspectratio="f"/>
                <v:line id="直线 7" o:spid="_x0000_s1026" o:spt="20" style="position:absolute;left:1697;top:567;height:0;width:8848;" filled="f" stroked="t" coordsize="21600,21600" o:gfxdata="UEsDBAoAAAAAAIdO4kAAAAAAAAAAAAAAAAAEAAAAZHJzL1BLAwQUAAAACACHTuJAF2nEY7sAAADc&#10;AAAADwAAAGRycy9kb3ducmV2LnhtbEVPTYvCMBC9L/gfwgje1lQP2lajB0XRgyyr4nloxra2mZQm&#10;Wv33RljY2zze58yXT1OLB7WutKxgNIxAEGdWl5wrOJ823zEI55E11pZJwYscLBe9rzmm2nb8S4+j&#10;z0UIYZeigsL7JpXSZQUZdEPbEAfualuDPsA2l7rFLoSbWo6jaCINlhwaCmxoVVBWHe9GwSGWa/tT&#10;XbLXrTtt43hfJdP9WalBfxTNQHh6+n/xn3unw/wkgc8z4QK5e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2nEY7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8" o:spid="_x0000_s1026" o:spt="20" style="position:absolute;left:1697;top:1256;height:0;width:8848;" filled="f" stroked="t" coordsize="21600,21600" o:gfxdata="UEsDBAoAAAAAAIdO4kAAAAAAAAAAAAAAAAAEAAAAZHJzL1BLAwQUAAAACACHTuJAtXyZBb0AAADc&#10;AAAADwAAAGRycy9kb3ducmV2LnhtbEWPQYvCMBSE7wv+h/AEb2uqB+3Wph4URQ+yrMqeH82zrW1e&#10;ShOt/nsjLOxxmJlvmHT5MI24U+cqywom4wgEcW51xYWC82nzGYNwHlljY5kUPMnBMht8pJho2/MP&#10;3Y++EAHCLkEFpfdtIqXLSzLoxrYlDt7FdgZ9kF0hdYd9gJtGTqNoJg1WHBZKbGlVUl4fb0bBIZZr&#10;+13/5s9rf9rG8b7+mu/PSo2Gk2gBwtPD/4f/2jutIBDhfSYcAZm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fJkFvQAA&#10;ANw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9" o:spid="_x0000_s1026" o:spt="20" style="position:absolute;left:1692;top:563;height:1759;width:0;" filled="f" stroked="t" coordsize="21600,21600" o:gfxdata="UEsDBAoAAAAAAIdO4kAAAAAAAAAAAAAAAAAEAAAAZHJzL1BLAwQUAAAACACHTuJA2jA8nr4AAADc&#10;AAAADwAAAGRycy9kb3ducmV2LnhtbEWPQWvCQBSE70L/w/KE3nQ3HmpMXT1YWuqhiFF6fmSfSUz2&#10;bchujf77riB4HGbmG2a5vtpWXKj3tWMNyVSBIC6cqbnUcDx8TlIQPiAbbB2Thht5WK9eRkvMjBt4&#10;T5c8lCJC2GeooQqhy6T0RUUW/dR1xNE7ud5iiLIvpelxiHDbyplSb9JizXGhwo42FRVN/mc1/KTy&#10;w+2a3+J2Hg5fabptFvPtUevXcaLeQQS6hmf40f42GmYqgfuZeATk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jA8nr4A&#10;AADc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10" o:spid="_x0000_s1026" o:spt="20" style="position:absolute;left:1697;top:2317;height:0;width:8848;" filled="f" stroked="t" coordsize="21600,21600" o:gfxdata="UEsDBAoAAAAAAIdO4kAAAAAAAAAAAAAAAAAEAAAAZHJzL1BLAwQUAAAACACHTuJAKuKi6b4AAADc&#10;AAAADwAAAGRycy9kb3ducmV2LnhtbEWPQWvCQBSE70L/w/IKvemuOdQYXT20tNRDEaN4fmSfSUz2&#10;bchujf77riB4HGbmG2a5vtpWXKj3tWMN04kCQVw4U3Op4bD/GqcgfEA22DomDTfysF69jJaYGTfw&#10;ji55KEWEsM9QQxVCl0npi4os+onriKN3cr3FEGVfStPjEOG2lYlS79JizXGhwo4+Kiqa/M9q+E3l&#10;p9s2x+J2Hvbfabpp5rPNQeu316lagAh0Dc/wo/1jNCQqgfuZeATk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uKi6b4A&#10;AADc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11" o:spid="_x0000_s1026" o:spt="20" style="position:absolute;left:10550;top:563;height:1759;width:0;" filled="f" stroked="t" coordsize="21600,21600" o:gfxdata="UEsDBAoAAAAAAIdO4kAAAAAAAAAAAAAAAAAEAAAAZHJzL1BLAwQUAAAACACHTuJAce1sCr0AAADc&#10;AAAADwAAAGRycy9kb3ducmV2LnhtbEWPQWvCQBSE7wX/w/IEb3U3phWJroKCIHiqbT0/s88kmH0b&#10;smtM/PXdQqHHYWa+YVab3taio9ZXjjUkUwWCOHem4kLD1+f+dQHCB2SDtWPSMJCHzXr0ssLMuAd/&#10;UHcKhYgQ9hlqKENoMil9XpJFP3UNcfSurrUYomwLaVp8RLit5UypubRYcVwosaFdSfntdLca3rp+&#10;OD53tE0vh2RYvBffqT/XWk/GiVqCCNSH//Bf+2A0zFQKv2fiEZ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7WwKvQAA&#10;ANwAAAAPAAAAAAAAAAEAIAAAACIAAABkcnMvZG93bnJldi54bWxQSwECFAAUAAAACACHTuJAMy8F&#10;njsAAAA5AAAAEAAAAAAAAAABACAAAAAMAQAAZHJzL3NoYXBleG1sLnhtbFBLBQYAAAAABgAGAFsB&#10;AAC2AwAAAAA=&#10;">
                  <v:fill on="f" focussize="0,0"/>
                  <v:stroke weight="0.48007874015748pt" color="#000000" joinstyle="round"/>
                  <v:imagedata o:title=""/>
                  <o:lock v:ext="edit" aspectratio="f"/>
                </v:line>
                <v:shape id="文本框 12" o:spid="_x0000_s1026" o:spt="202" type="#_x0000_t202" style="position:absolute;left:5698;top:805;height:212;width:969;" filled="f" stroked="f" coordsize="21600,21600" o:gfxdata="UEsDBAoAAAAAAIdO4kAAAAAAAAAAAAAAAAAEAAAAZHJzL1BLAwQUAAAACACHTuJAA54xHb4AAADc&#10;AAAADwAAAGRycy9kb3ducmV2LnhtbEWPT2sCMRTE7wW/Q3hCbzVRitTVKCItCIXiuh48PjfP3eDm&#10;Zd3EP/32jVDwOMzMb5jZ4u4acaUuWM8ahgMFgrj0xnKlYVd8vX2ACBHZYOOZNPxSgMW89zLDzPgb&#10;53TdxkokCIcMNdQxtpmUoazJYRj4ljh5R985jEl2lTQd3hLcNXKk1Fg6tJwWamxpVVN52l6chuWe&#10;8097/jls8mNui2Ki+Ht80vq1P1RTEJHu8Rn+b6+NhpF6h8eZdAT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54xH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11" w:lineRule="exact"/>
                          <w:ind w:left="0" w:right="0" w:firstLine="0"/>
                          <w:jc w:val="left"/>
                          <w:rPr>
                            <w:rFonts w:hint="eastAsia" w:ascii="微软雅黑" w:eastAsia="微软雅黑"/>
                            <w:b/>
                            <w:sz w:val="21"/>
                          </w:rPr>
                        </w:pPr>
                        <w:r>
                          <w:rPr>
                            <w:rFonts w:hint="eastAsia" w:ascii="微软雅黑" w:eastAsia="微软雅黑"/>
                            <w:b/>
                            <w:sz w:val="21"/>
                          </w:rPr>
                          <w:t>其他要求</w:t>
                        </w:r>
                      </w:p>
                    </w:txbxContent>
                  </v:textbox>
                </v:shape>
                <w10:wrap type="topAndBottom"/>
              </v:group>
            </w:pict>
          </mc:Fallback>
        </mc:AlternateContent>
      </w:r>
    </w:p>
    <w:p>
      <w:pPr>
        <w:pStyle w:val="6"/>
        <w:spacing w:line="236" w:lineRule="exact"/>
        <w:rPr>
          <w:rFonts w:hint="default" w:ascii="Times New Roman" w:hAnsi="Times New Roman" w:cs="Times New Roman"/>
          <w:color w:val="auto"/>
          <w:highlight w:val="none"/>
        </w:rPr>
      </w:pPr>
      <w:bookmarkStart w:id="17" w:name="附录6  资格审查条件（其他主要人员最低要求）"/>
      <w:bookmarkEnd w:id="17"/>
      <w:bookmarkStart w:id="18" w:name="_bookmark8"/>
      <w:bookmarkEnd w:id="18"/>
    </w:p>
    <w:p>
      <w:pPr>
        <w:spacing w:line="360" w:lineRule="auto"/>
        <w:jc w:val="both"/>
        <w:outlineLvl w:val="2"/>
        <w:rPr>
          <w:rFonts w:hint="default" w:ascii="Times New Roman" w:hAnsi="Times New Roman" w:eastAsia="宋体" w:cs="Times New Roman"/>
          <w:b/>
          <w:color w:val="auto"/>
          <w:sz w:val="24"/>
          <w:highlight w:val="none"/>
        </w:rPr>
      </w:pPr>
    </w:p>
    <w:p>
      <w:pPr>
        <w:spacing w:line="360" w:lineRule="auto"/>
        <w:jc w:val="both"/>
        <w:outlineLvl w:val="2"/>
        <w:rPr>
          <w:rFonts w:hint="default" w:ascii="Times New Roman" w:hAnsi="Times New Roman" w:eastAsia="宋体" w:cs="Times New Roman"/>
          <w:b/>
          <w:color w:val="auto"/>
          <w:sz w:val="24"/>
          <w:highlight w:val="none"/>
        </w:rPr>
      </w:pPr>
    </w:p>
    <w:p>
      <w:pPr>
        <w:spacing w:line="360" w:lineRule="auto"/>
        <w:jc w:val="both"/>
        <w:outlineLvl w:val="2"/>
        <w:rPr>
          <w:rFonts w:hint="default" w:ascii="Times New Roman" w:hAnsi="Times New Roman" w:eastAsia="宋体" w:cs="Times New Roman"/>
          <w:b/>
          <w:color w:val="auto"/>
          <w:sz w:val="24"/>
          <w:highlight w:val="none"/>
        </w:rPr>
      </w:pPr>
    </w:p>
    <w:p>
      <w:pPr>
        <w:spacing w:line="360" w:lineRule="auto"/>
        <w:jc w:val="center"/>
        <w:outlineLvl w:val="1"/>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4"/>
          <w:highlight w:val="none"/>
        </w:rPr>
        <w:br w:type="page"/>
      </w:r>
      <w:r>
        <w:rPr>
          <w:rFonts w:hint="default" w:ascii="Times New Roman" w:hAnsi="Times New Roman" w:eastAsia="宋体" w:cs="Times New Roman"/>
          <w:b/>
          <w:color w:val="auto"/>
          <w:sz w:val="28"/>
          <w:highlight w:val="none"/>
        </w:rPr>
        <w:t>第</w:t>
      </w:r>
      <w:r>
        <w:rPr>
          <w:rFonts w:hint="default" w:ascii="Times New Roman" w:hAnsi="Times New Roman" w:eastAsia="宋体" w:cs="Times New Roman"/>
          <w:b/>
          <w:color w:val="auto"/>
          <w:sz w:val="28"/>
          <w:highlight w:val="none"/>
          <w:lang w:val="en-US" w:eastAsia="zh-CN"/>
        </w:rPr>
        <w:t>二</w:t>
      </w:r>
      <w:r>
        <w:rPr>
          <w:rFonts w:hint="default" w:ascii="Times New Roman" w:hAnsi="Times New Roman" w:eastAsia="宋体" w:cs="Times New Roman"/>
          <w:b/>
          <w:color w:val="auto"/>
          <w:sz w:val="28"/>
          <w:highlight w:val="none"/>
        </w:rPr>
        <w:t>章  投标人须知</w:t>
      </w:r>
    </w:p>
    <w:p>
      <w:pPr>
        <w:snapToGrid w:val="0"/>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二、投标人须知正文</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1.适用范围</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highlight w:val="none"/>
          <w:lang w:val="en-US"/>
        </w:rPr>
      </w:pPr>
      <w:r>
        <w:rPr>
          <w:rFonts w:hint="default" w:ascii="Times New Roman" w:hAnsi="Times New Roman" w:eastAsia="宋体" w:cs="Times New Roman"/>
          <w:color w:val="auto"/>
          <w:sz w:val="24"/>
          <w:highlight w:val="none"/>
        </w:rPr>
        <w:t>1.1本招标文件仅适用于本次公开招标所述的</w:t>
      </w:r>
      <w:r>
        <w:rPr>
          <w:rFonts w:hint="eastAsia" w:ascii="Times New Roman" w:hAnsi="Times New Roman" w:eastAsia="宋体" w:cs="Times New Roman"/>
          <w:color w:val="auto"/>
          <w:sz w:val="24"/>
          <w:highlight w:val="none"/>
          <w:lang w:val="en-US" w:eastAsia="zh-CN"/>
        </w:rPr>
        <w:t>世纪南书房装修改造工程。</w:t>
      </w:r>
    </w:p>
    <w:p>
      <w:pPr>
        <w:keepNext w:val="0"/>
        <w:keepLines w:val="0"/>
        <w:pageBreakBefore w:val="0"/>
        <w:widowControl w:val="0"/>
        <w:kinsoku/>
        <w:wordWrap/>
        <w:overflowPunct/>
        <w:topLinePunct w:val="0"/>
        <w:bidi w:val="0"/>
        <w:spacing w:line="360" w:lineRule="auto"/>
        <w:ind w:firstLine="482" w:firstLineChars="200"/>
        <w:textAlignment w:val="auto"/>
        <w:outlineLvl w:val="3"/>
        <w:rPr>
          <w:rFonts w:hint="default" w:ascii="Times New Roman" w:hAnsi="Times New Roman" w:eastAsia="宋体" w:cs="Times New Roman"/>
          <w:color w:val="auto"/>
          <w:sz w:val="24"/>
          <w:highlight w:val="none"/>
        </w:rPr>
      </w:pPr>
      <w:r>
        <w:rPr>
          <w:rFonts w:hint="default" w:ascii="Times New Roman" w:hAnsi="Times New Roman" w:eastAsia="宋体" w:cs="Times New Roman"/>
          <w:b/>
          <w:color w:val="auto"/>
          <w:sz w:val="24"/>
          <w:highlight w:val="none"/>
        </w:rPr>
        <w:t>2.定义</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时限（年份、月份等）计算：系指从开标之日向前追溯X年/月（“X”为“一”及以后整数）起算。</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业绩：业绩</w:t>
      </w:r>
      <w:r>
        <w:rPr>
          <w:rFonts w:hint="default" w:ascii="Times New Roman" w:hAnsi="Times New Roman" w:eastAsia="宋体" w:cs="Times New Roman"/>
          <w:color w:val="auto"/>
          <w:sz w:val="24"/>
          <w:highlight w:val="none"/>
          <w:lang w:val="en-US" w:eastAsia="zh-CN"/>
        </w:rPr>
        <w:t>要求见</w:t>
      </w:r>
      <w:r>
        <w:rPr>
          <w:rFonts w:hint="default" w:ascii="Times New Roman" w:hAnsi="Times New Roman" w:eastAsia="宋体" w:cs="Times New Roman"/>
          <w:color w:val="auto"/>
          <w:sz w:val="24"/>
          <w:highlight w:val="none"/>
        </w:rPr>
        <w:t>投标邀请（招标公告）。</w:t>
      </w:r>
    </w:p>
    <w:p>
      <w:pPr>
        <w:keepNext w:val="0"/>
        <w:keepLines w:val="0"/>
        <w:pageBreakBefore w:val="0"/>
        <w:widowControl w:val="0"/>
        <w:kinsoku/>
        <w:wordWrap/>
        <w:overflowPunct/>
        <w:topLinePunct w:val="0"/>
        <w:bidi w:val="0"/>
        <w:spacing w:line="360" w:lineRule="auto"/>
        <w:ind w:firstLine="482" w:firstLineChars="200"/>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w:t>
      </w:r>
      <w:r>
        <w:rPr>
          <w:rFonts w:hint="default" w:ascii="Times New Roman" w:hAnsi="Times New Roman" w:eastAsia="宋体" w:cs="Times New Roman"/>
          <w:b/>
          <w:color w:val="auto"/>
          <w:sz w:val="24"/>
          <w:highlight w:val="none"/>
          <w:lang w:eastAsia="zh-CN"/>
        </w:rPr>
        <w:t>招标人</w:t>
      </w:r>
      <w:r>
        <w:rPr>
          <w:rFonts w:hint="default" w:ascii="Times New Roman" w:hAnsi="Times New Roman" w:eastAsia="宋体" w:cs="Times New Roman"/>
          <w:b/>
          <w:color w:val="auto"/>
          <w:sz w:val="24"/>
          <w:highlight w:val="none"/>
        </w:rPr>
        <w:t>及投标人</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3.1</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：本项目的</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投标人：见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在中华人民共和国境内注册，能够独立承担民事责任，有生产或供应能力的本国投标人。</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单位负责人为同一人或者存在直接控股、管理关系的不同投标人，不得参加同一合同项下的采购活动。否则其投标将被认定为</w:t>
      </w:r>
      <w:r>
        <w:rPr>
          <w:rFonts w:hint="default" w:ascii="Times New Roman" w:hAnsi="Times New Roman" w:eastAsia="宋体" w:cs="Times New Roman"/>
          <w:b/>
          <w:bCs/>
          <w:color w:val="auto"/>
          <w:sz w:val="24"/>
          <w:highlight w:val="none"/>
        </w:rPr>
        <w:t>投标无效</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为本项目提供过整体设计、规范编制或者项目管理、监理、检测等服务的投标人，不得再参加本项目上述服务以外的其他采购活动。</w:t>
      </w:r>
      <w:bookmarkStart w:id="19" w:name="_Hlk13431092"/>
      <w:r>
        <w:rPr>
          <w:rFonts w:hint="default" w:ascii="Times New Roman" w:hAnsi="Times New Roman" w:eastAsia="宋体" w:cs="Times New Roman"/>
          <w:color w:val="auto"/>
          <w:sz w:val="24"/>
          <w:highlight w:val="none"/>
        </w:rPr>
        <w:t>否则其投标将被认定为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bookmarkEnd w:id="19"/>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4.资金来源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4.1本项目的</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已获得足以支付本次招标后所签订的合同项下的资金。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bookmarkStart w:id="20" w:name="_Hlk11702998"/>
      <w:r>
        <w:rPr>
          <w:rFonts w:hint="default" w:ascii="Times New Roman" w:hAnsi="Times New Roman" w:eastAsia="宋体" w:cs="Times New Roman"/>
          <w:color w:val="auto"/>
          <w:sz w:val="24"/>
          <w:highlight w:val="none"/>
        </w:rPr>
        <w:t>4.2项目预算金额和分项（或分包）最高限价见</w:t>
      </w:r>
      <w:r>
        <w:rPr>
          <w:rFonts w:hint="default" w:ascii="Times New Roman" w:hAnsi="Times New Roman" w:eastAsia="宋体" w:cs="Times New Roman"/>
          <w:color w:val="auto"/>
          <w:sz w:val="24"/>
          <w:highlight w:val="none"/>
          <w:u w:val="single"/>
        </w:rPr>
        <w:t>投标邀请</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4.3资金来源：详见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bookmarkEnd w:id="20"/>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5.投标费用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不论投标的结果如何，投标人应承担所有与准备和参加投标有关的费用。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6.适用法律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本项目不属于政府采购项目，本项目</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、投标人、评标委员会的相关行为和权利受</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有关规定及本项目招标文件的约束和保护。</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7.招标文件构成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7.1招标文件包括下列内容：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第一章  投标邀请（招标公告）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第二章  投标人须知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 xml:space="preserve">第三章  </w:t>
      </w:r>
      <w:r>
        <w:rPr>
          <w:rFonts w:hint="eastAsia" w:ascii="Times New Roman" w:hAnsi="Times New Roman" w:eastAsia="宋体" w:cs="Times New Roman"/>
          <w:color w:val="auto"/>
          <w:sz w:val="24"/>
          <w:highlight w:val="none"/>
          <w:lang w:val="en-US" w:eastAsia="zh-CN"/>
        </w:rPr>
        <w:t>评标方法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第</w:t>
      </w:r>
      <w:r>
        <w:rPr>
          <w:rFonts w:hint="default" w:ascii="Times New Roman" w:hAnsi="Times New Roman" w:eastAsia="宋体" w:cs="Times New Roman"/>
          <w:color w:val="auto"/>
          <w:sz w:val="24"/>
          <w:highlight w:val="none"/>
          <w:lang w:val="en-US" w:eastAsia="zh-CN"/>
        </w:rPr>
        <w:t>四</w:t>
      </w:r>
      <w:r>
        <w:rPr>
          <w:rFonts w:hint="default" w:ascii="Times New Roman" w:hAnsi="Times New Roman" w:eastAsia="宋体" w:cs="Times New Roman"/>
          <w:color w:val="auto"/>
          <w:sz w:val="24"/>
          <w:highlight w:val="none"/>
        </w:rPr>
        <w:t xml:space="preserve">章  </w:t>
      </w:r>
      <w:r>
        <w:rPr>
          <w:rFonts w:hint="eastAsia" w:ascii="Times New Roman" w:hAnsi="Times New Roman" w:eastAsia="宋体" w:cs="Times New Roman"/>
          <w:color w:val="auto"/>
          <w:sz w:val="24"/>
          <w:highlight w:val="none"/>
          <w:lang w:val="en-US" w:eastAsia="zh-CN"/>
        </w:rPr>
        <w:t>合同条款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第</w:t>
      </w:r>
      <w:r>
        <w:rPr>
          <w:rFonts w:hint="default" w:ascii="Times New Roman" w:hAnsi="Times New Roman" w:eastAsia="宋体" w:cs="Times New Roman"/>
          <w:color w:val="auto"/>
          <w:sz w:val="24"/>
          <w:highlight w:val="none"/>
          <w:lang w:val="en-US" w:eastAsia="zh-CN"/>
        </w:rPr>
        <w:t>五</w:t>
      </w:r>
      <w:r>
        <w:rPr>
          <w:rFonts w:hint="default" w:ascii="Times New Roman" w:hAnsi="Times New Roman" w:eastAsia="宋体" w:cs="Times New Roman"/>
          <w:color w:val="auto"/>
          <w:sz w:val="24"/>
          <w:highlight w:val="none"/>
        </w:rPr>
        <w:t xml:space="preserve">章  </w:t>
      </w:r>
      <w:r>
        <w:rPr>
          <w:rFonts w:hint="eastAsia" w:ascii="Times New Roman" w:hAnsi="Times New Roman" w:eastAsia="宋体" w:cs="Times New Roman"/>
          <w:color w:val="auto"/>
          <w:sz w:val="24"/>
          <w:highlight w:val="none"/>
          <w:lang w:val="en-US" w:eastAsia="zh-CN"/>
        </w:rPr>
        <w:t>工作量清单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第</w:t>
      </w:r>
      <w:r>
        <w:rPr>
          <w:rFonts w:hint="default" w:ascii="Times New Roman" w:hAnsi="Times New Roman" w:eastAsia="宋体" w:cs="Times New Roman"/>
          <w:color w:val="auto"/>
          <w:sz w:val="24"/>
          <w:highlight w:val="none"/>
          <w:lang w:val="en-US" w:eastAsia="zh-CN"/>
        </w:rPr>
        <w:t>六</w:t>
      </w:r>
      <w:r>
        <w:rPr>
          <w:rFonts w:hint="default" w:ascii="Times New Roman" w:hAnsi="Times New Roman" w:eastAsia="宋体" w:cs="Times New Roman"/>
          <w:color w:val="auto"/>
          <w:sz w:val="24"/>
          <w:highlight w:val="none"/>
        </w:rPr>
        <w:t xml:space="preserve">章  </w:t>
      </w:r>
      <w:r>
        <w:rPr>
          <w:rFonts w:hint="eastAsia" w:ascii="Times New Roman" w:hAnsi="Times New Roman" w:eastAsia="宋体" w:cs="Times New Roman"/>
          <w:color w:val="auto"/>
          <w:sz w:val="24"/>
          <w:highlight w:val="none"/>
          <w:lang w:val="en-US" w:eastAsia="zh-CN"/>
        </w:rPr>
        <w:t>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第七章  技术标准和要求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第八章  投标文件格式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7.2招标文件中有不一致的，有澄清的部分以最终的澄清更正内容为准。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7.3现场考察及相关事项见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8.招标文件的澄清与修改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8.1投标人如对招标文件内容有疑问，应以书面形式（如传真、邮件等）通知</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对需要做出澄清的问题，以澄清和修改通知的方式予以答复。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8.2</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可主动或在解答投标人提出的问题时对招标文件进行澄清或者修改。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8.3任何人或任何组织向投标人提供的任何书面或口头资料，未经</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在网上发布或书面通知，均作无效处理，不得作为招标文件的组成部分。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i/>
          <w:iCs/>
          <w:color w:val="auto"/>
          <w:sz w:val="24"/>
          <w:highlight w:val="none"/>
        </w:rPr>
      </w:pPr>
      <w:r>
        <w:rPr>
          <w:rFonts w:hint="default" w:ascii="Times New Roman" w:hAnsi="Times New Roman" w:eastAsia="宋体" w:cs="Times New Roman"/>
          <w:color w:val="auto"/>
          <w:sz w:val="24"/>
          <w:highlight w:val="none"/>
        </w:rPr>
        <w:t>8.4对于没有提出疑问又参与了本项目投标的投标人将被视为完全认同本招标文件（含更正公告的内容）</w:t>
      </w:r>
      <w:r>
        <w:rPr>
          <w:rFonts w:hint="default" w:ascii="Times New Roman" w:hAnsi="Times New Roman" w:eastAsia="宋体" w:cs="Times New Roman"/>
          <w:i/>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9.投标范围及投标文件中标准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9.1项目</w:t>
      </w:r>
      <w:r>
        <w:rPr>
          <w:rFonts w:hint="default" w:ascii="Times New Roman" w:hAnsi="Times New Roman" w:eastAsia="宋体" w:cs="Times New Roman"/>
          <w:color w:val="auto"/>
          <w:sz w:val="24"/>
          <w:highlight w:val="none"/>
          <w:lang w:val="en-US" w:eastAsia="zh-CN"/>
        </w:rPr>
        <w:t>不允许分包</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9.2投标人应当对所投分包招标文件中所列的所有内容进行投标，如仅响应所投包别中的部分内容，其所投包别的投标将被认定为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bookmarkStart w:id="21" w:name="_Hlk16458980"/>
      <w:r>
        <w:rPr>
          <w:rFonts w:hint="default" w:ascii="Times New Roman" w:hAnsi="Times New Roman" w:eastAsia="宋体" w:cs="Times New Roman"/>
          <w:color w:val="auto"/>
          <w:sz w:val="24"/>
          <w:highlight w:val="none"/>
        </w:rPr>
        <w:t>9.3无论招标文件中是否要求，投标人所投货物及伴随的服务和工程均应符合国家强制性标准。</w:t>
      </w:r>
    </w:p>
    <w:bookmarkEnd w:id="21"/>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9.4投标人与</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之间与投标有关的所有往来通知、函件和投标文件均用中文表述。投标人随投标文件提供的证明文件和资料可以</w:t>
      </w:r>
      <w:r>
        <w:rPr>
          <w:rFonts w:hint="default" w:ascii="Times New Roman" w:hAnsi="Times New Roman" w:eastAsia="宋体" w:cs="Times New Roman"/>
          <w:color w:val="auto"/>
          <w:sz w:val="24"/>
          <w:highlight w:val="none"/>
          <w:lang w:eastAsia="zh-CN"/>
        </w:rPr>
        <w:t>为其他</w:t>
      </w:r>
      <w:r>
        <w:rPr>
          <w:rFonts w:hint="default" w:ascii="Times New Roman" w:hAnsi="Times New Roman" w:eastAsia="宋体" w:cs="Times New Roman"/>
          <w:color w:val="auto"/>
          <w:sz w:val="24"/>
          <w:highlight w:val="none"/>
        </w:rPr>
        <w:t>语言，但必须附中文译文。翻译的中文资料与外文资料出现差异时，以中文为准。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9.5除招标文件中有特殊要求外，投标文件中所使用的计量单位，应采用中华人民共和国法定计量单位。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10.投标文件构成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10.1投标人应完整地按招标文件提供的投标文件格式及要求编写投标文件，具体内容详见本项目第</w:t>
      </w:r>
      <w:r>
        <w:rPr>
          <w:rFonts w:hint="eastAsia" w:ascii="Times New Roman" w:hAnsi="Times New Roman" w:eastAsia="宋体" w:cs="Times New Roman"/>
          <w:color w:val="auto"/>
          <w:sz w:val="24"/>
          <w:highlight w:val="none"/>
          <w:lang w:val="en-US" w:eastAsia="zh-CN"/>
        </w:rPr>
        <w:t>八</w:t>
      </w:r>
      <w:r>
        <w:rPr>
          <w:rFonts w:hint="default" w:ascii="Times New Roman" w:hAnsi="Times New Roman" w:eastAsia="宋体" w:cs="Times New Roman"/>
          <w:color w:val="auto"/>
          <w:sz w:val="24"/>
          <w:highlight w:val="none"/>
        </w:rPr>
        <w:t>章投标文件格式的相关内容。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10.2上述文件应按照招标文件规定的格式填写、签署和盖章。</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w:t>
      </w:r>
      <w:r>
        <w:rPr>
          <w:rFonts w:hint="default" w:ascii="Times New Roman" w:hAnsi="Times New Roman" w:eastAsia="宋体" w:cs="Times New Roman"/>
          <w:b/>
          <w:color w:val="auto"/>
          <w:sz w:val="24"/>
          <w:highlight w:val="none"/>
          <w:lang w:val="en-US" w:eastAsia="zh-CN"/>
        </w:rPr>
        <w:t>1</w:t>
      </w:r>
      <w:r>
        <w:rPr>
          <w:rFonts w:hint="default" w:ascii="Times New Roman" w:hAnsi="Times New Roman" w:eastAsia="宋体" w:cs="Times New Roman"/>
          <w:b/>
          <w:color w:val="auto"/>
          <w:sz w:val="24"/>
          <w:highlight w:val="none"/>
        </w:rPr>
        <w:t>.投标报价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.1投标人的报价应当包括满足本次招标全部采购需求所应提供的货物，以及伴随的服务和工程。所有投标均应以人民币报价。投标人的投标报价应遵守《中华人民共和国价格法》。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val="en-US" w:eastAsia="zh-CN"/>
        </w:rPr>
        <w:t>12.</w:t>
      </w:r>
      <w:r>
        <w:rPr>
          <w:rFonts w:hint="default" w:ascii="Times New Roman" w:hAnsi="Times New Roman" w:eastAsia="宋体" w:cs="Times New Roman"/>
          <w:b/>
          <w:color w:val="auto"/>
          <w:sz w:val="24"/>
          <w:highlight w:val="none"/>
        </w:rPr>
        <w:t>投标保证金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3"/>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中标人应按照</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规定缴纳投标保证金</w:t>
      </w:r>
      <w:r>
        <w:rPr>
          <w:rFonts w:hint="default" w:ascii="Times New Roman" w:hAnsi="Times New Roman" w:eastAsia="宋体"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w:t>
      </w:r>
      <w:r>
        <w:rPr>
          <w:rFonts w:hint="default" w:ascii="Times New Roman" w:hAnsi="Times New Roman" w:eastAsia="宋体" w:cs="Times New Roman"/>
          <w:b/>
          <w:color w:val="auto"/>
          <w:sz w:val="24"/>
          <w:highlight w:val="none"/>
          <w:lang w:val="en-US" w:eastAsia="zh-CN"/>
        </w:rPr>
        <w:t>3</w:t>
      </w:r>
      <w:r>
        <w:rPr>
          <w:rFonts w:hint="default" w:ascii="Times New Roman" w:hAnsi="Times New Roman" w:eastAsia="宋体" w:cs="Times New Roman"/>
          <w:b/>
          <w:color w:val="auto"/>
          <w:sz w:val="24"/>
          <w:highlight w:val="none"/>
        </w:rPr>
        <w:t>.投标有效期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.1投标有效期为从投标截止之日算起的日历天数，投标有效期详见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.2在投标有效期内，投标人的投标保持有效，投标人不得要求撤销或修改其投标文件。投标有效期不满足要求的投标，其投标将被认定为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auto"/>
          <w:sz w:val="24"/>
          <w:highlight w:val="none"/>
          <w:lang w:val="en-US" w:eastAsia="zh-CN"/>
        </w:rPr>
        <w:t>13</w:t>
      </w:r>
      <w:r>
        <w:rPr>
          <w:rFonts w:hint="default" w:ascii="Times New Roman" w:hAnsi="Times New Roman" w:eastAsia="宋体" w:cs="Times New Roman"/>
          <w:color w:val="auto"/>
          <w:sz w:val="24"/>
          <w:highlight w:val="none"/>
        </w:rPr>
        <w:t>.3因特殊原因，</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w:t>
      </w:r>
      <w:r>
        <w:rPr>
          <w:rFonts w:hint="default" w:ascii="Times New Roman" w:hAnsi="Times New Roman" w:eastAsia="宋体" w:cs="Times New Roman"/>
          <w:b/>
          <w:color w:val="auto"/>
          <w:sz w:val="24"/>
          <w:highlight w:val="none"/>
          <w:lang w:val="en-US" w:eastAsia="zh-CN"/>
        </w:rPr>
        <w:t>4</w:t>
      </w:r>
      <w:r>
        <w:rPr>
          <w:rFonts w:hint="default" w:ascii="Times New Roman" w:hAnsi="Times New Roman" w:eastAsia="宋体" w:cs="Times New Roman"/>
          <w:b/>
          <w:color w:val="auto"/>
          <w:sz w:val="24"/>
          <w:highlight w:val="none"/>
        </w:rPr>
        <w:t>.投标文件的制作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.1投标文件份数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.1.1投标人应按照</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的要求编制投标文件，并在封面上注明“正本”和“副本”字样。投标文件的正本与副本如有不一致之处，以正本为准。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.1.2投标文件应按招标文件要求加盖投标人公章，热敏纸无效。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.1.3</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保留要求中标人提供其投标文件电子版的权利。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.2投标文件的封装和标记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.2.1投标文件应装订成册并封装，建议在密封袋上标注项目名称、项目编号、投标人名称及包别。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.2.2建议投标人将正本单独封装，全部副本一起封装。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.2.3如果未按规定封装或加写标记，</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将不承担投标文件错放或提前开封的责任，并可能导致投标无效。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.3开标现场提交的其他材料要求详见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w:t>
      </w:r>
      <w:r>
        <w:rPr>
          <w:rFonts w:hint="default" w:ascii="Times New Roman" w:hAnsi="Times New Roman" w:eastAsia="宋体" w:cs="Times New Roman"/>
          <w:b/>
          <w:color w:val="auto"/>
          <w:sz w:val="24"/>
          <w:highlight w:val="none"/>
          <w:lang w:val="en-US" w:eastAsia="zh-CN"/>
        </w:rPr>
        <w:t>5</w:t>
      </w:r>
      <w:r>
        <w:rPr>
          <w:rFonts w:hint="default" w:ascii="Times New Roman" w:hAnsi="Times New Roman" w:eastAsia="宋体" w:cs="Times New Roman"/>
          <w:b/>
          <w:color w:val="auto"/>
          <w:sz w:val="24"/>
          <w:highlight w:val="none"/>
        </w:rPr>
        <w:t>.投标截止及投标文件的递交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3"/>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w:t>
      </w:r>
      <w:r>
        <w:rPr>
          <w:rFonts w:hint="default" w:ascii="Times New Roman" w:hAnsi="Times New Roman" w:eastAsia="宋体" w:cs="Times New Roman"/>
          <w:bCs/>
          <w:color w:val="auto"/>
          <w:sz w:val="24"/>
          <w:highlight w:val="none"/>
          <w:lang w:val="en-US" w:eastAsia="zh-CN"/>
        </w:rPr>
        <w:t>5</w:t>
      </w:r>
      <w:r>
        <w:rPr>
          <w:rFonts w:hint="default" w:ascii="Times New Roman" w:hAnsi="Times New Roman" w:eastAsia="宋体" w:cs="Times New Roman"/>
          <w:bCs/>
          <w:color w:val="auto"/>
          <w:sz w:val="24"/>
          <w:highlight w:val="none"/>
        </w:rPr>
        <w:t>.1投标人应当在</w:t>
      </w:r>
      <w:r>
        <w:rPr>
          <w:rFonts w:hint="default" w:ascii="Times New Roman" w:hAnsi="Times New Roman" w:eastAsia="宋体" w:cs="Times New Roman"/>
          <w:color w:val="auto"/>
          <w:sz w:val="24"/>
          <w:highlight w:val="none"/>
        </w:rPr>
        <w:t>“投标邀请”</w:t>
      </w:r>
      <w:r>
        <w:rPr>
          <w:rFonts w:hint="default" w:ascii="Times New Roman" w:hAnsi="Times New Roman" w:eastAsia="宋体" w:cs="Times New Roman"/>
          <w:bCs/>
          <w:color w:val="auto"/>
          <w:sz w:val="24"/>
          <w:highlight w:val="none"/>
        </w:rPr>
        <w:t>规定的投标截止时间前，将投标文件密封送达</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bCs/>
          <w:color w:val="auto"/>
          <w:sz w:val="24"/>
          <w:highlight w:val="none"/>
        </w:rPr>
        <w:t>指定的开标地点。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3"/>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w:t>
      </w:r>
      <w:r>
        <w:rPr>
          <w:rFonts w:hint="default" w:ascii="Times New Roman" w:hAnsi="Times New Roman" w:eastAsia="宋体" w:cs="Times New Roman"/>
          <w:bCs/>
          <w:color w:val="auto"/>
          <w:sz w:val="24"/>
          <w:highlight w:val="none"/>
          <w:lang w:val="en-US" w:eastAsia="zh-CN"/>
        </w:rPr>
        <w:t>5</w:t>
      </w:r>
      <w:r>
        <w:rPr>
          <w:rFonts w:hint="default" w:ascii="Times New Roman" w:hAnsi="Times New Roman" w:eastAsia="宋体" w:cs="Times New Roman"/>
          <w:bCs/>
          <w:color w:val="auto"/>
          <w:sz w:val="24"/>
          <w:highlight w:val="none"/>
        </w:rPr>
        <w:t>.2在投标截止时间之后送达的投标文件将被拒绝。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有权按本招标文件的规定，延迟投标截止时间。在此情况下，</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和投标人受投标截止时间制约的所有权利和义务均应延长至新的截止时间。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w:t>
      </w:r>
      <w:r>
        <w:rPr>
          <w:rFonts w:hint="default" w:ascii="Times New Roman" w:hAnsi="Times New Roman" w:eastAsia="宋体" w:cs="Times New Roman"/>
          <w:b/>
          <w:color w:val="auto"/>
          <w:sz w:val="24"/>
          <w:highlight w:val="none"/>
          <w:lang w:val="en-US" w:eastAsia="zh-CN"/>
        </w:rPr>
        <w:t>6</w:t>
      </w:r>
      <w:r>
        <w:rPr>
          <w:rFonts w:hint="default" w:ascii="Times New Roman" w:hAnsi="Times New Roman" w:eastAsia="宋体" w:cs="Times New Roman"/>
          <w:b/>
          <w:color w:val="auto"/>
          <w:sz w:val="24"/>
          <w:highlight w:val="none"/>
        </w:rPr>
        <w:t>.投标文件的修改、补充与撤回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6</w:t>
      </w:r>
      <w:r>
        <w:rPr>
          <w:rFonts w:hint="default" w:ascii="Times New Roman" w:hAnsi="Times New Roman" w:eastAsia="宋体" w:cs="Times New Roman"/>
          <w:color w:val="auto"/>
          <w:sz w:val="24"/>
          <w:highlight w:val="none"/>
        </w:rPr>
        <w:t>.1投标人在投标截止时间前，可以对所递交的投标文件进行补充、修改或者撤回，并书面通知采购</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6</w:t>
      </w:r>
      <w:r>
        <w:rPr>
          <w:rFonts w:hint="default" w:ascii="Times New Roman" w:hAnsi="Times New Roman" w:eastAsia="宋体" w:cs="Times New Roman"/>
          <w:color w:val="auto"/>
          <w:sz w:val="24"/>
          <w:highlight w:val="none"/>
        </w:rPr>
        <w:t>.2补充、修改的内容应当按照招标文件要求签署、盖章、密封后，作为投标文件的组成部分。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w:t>
      </w:r>
      <w:r>
        <w:rPr>
          <w:rFonts w:hint="default" w:ascii="Times New Roman" w:hAnsi="Times New Roman" w:eastAsia="宋体" w:cs="Times New Roman"/>
          <w:b/>
          <w:color w:val="auto"/>
          <w:sz w:val="24"/>
          <w:highlight w:val="none"/>
          <w:lang w:val="en-US" w:eastAsia="zh-CN"/>
        </w:rPr>
        <w:t>7</w:t>
      </w:r>
      <w:r>
        <w:rPr>
          <w:rFonts w:hint="default" w:ascii="Times New Roman" w:hAnsi="Times New Roman" w:eastAsia="宋体" w:cs="Times New Roman"/>
          <w:b/>
          <w:color w:val="auto"/>
          <w:sz w:val="24"/>
          <w:highlight w:val="none"/>
        </w:rPr>
        <w:t>.开标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rPr>
        <w:t>.1开标将在</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规定的时间和地点进行。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rPr>
        <w:t>.2开标时，投标人或者其推选的代表应检查投标文件的密封情况，经确认无误后，由</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当众拆封，宣布投标名称、投标价格、书面修改和撤回投标的通知，以及招标文件规定的需要宣布的其他内容。只有在开标时唱出的优惠，评标时才予以考虑。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rPr>
        <w:t>.3开标过程由</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负责记录，并由参加开标的各投标人代表和相关工作人员签字确认。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rPr>
        <w:t>.4投标人代表对开标过程和开标记录有疑义，以及认为</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相关工作人员有需要回避的情形的，应当场提出询问或者回避申请。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8"/>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rPr>
        <w:t>.5投标人应参加开标，投标人未参加开标的，视同认可开标结果。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w:t>
      </w:r>
      <w:r>
        <w:rPr>
          <w:rFonts w:hint="default" w:ascii="Times New Roman" w:hAnsi="Times New Roman" w:eastAsia="宋体" w:cs="Times New Roman"/>
          <w:b/>
          <w:color w:val="auto"/>
          <w:sz w:val="24"/>
          <w:highlight w:val="none"/>
          <w:lang w:val="en-US" w:eastAsia="zh-CN"/>
        </w:rPr>
        <w:t>8</w:t>
      </w:r>
      <w:r>
        <w:rPr>
          <w:rFonts w:hint="default" w:ascii="Times New Roman" w:hAnsi="Times New Roman" w:eastAsia="宋体" w:cs="Times New Roman"/>
          <w:b/>
          <w:color w:val="auto"/>
          <w:sz w:val="24"/>
          <w:highlight w:val="none"/>
        </w:rPr>
        <w:t>.资格审查及组建评标委员会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rPr>
        <w:t>.1按照有关规定依法组建的评标委员会，负责本项目评标工作。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18</w:t>
      </w:r>
      <w:r>
        <w:rPr>
          <w:rFonts w:hint="default" w:ascii="Times New Roman" w:hAnsi="Times New Roman" w:eastAsia="宋体" w:cs="Times New Roman"/>
          <w:color w:val="auto"/>
          <w:sz w:val="24"/>
          <w:highlight w:val="none"/>
        </w:rPr>
        <w:t>.2评标委员会依据法律法规和招标文件中规定的内容，对投标人资格进行审查，未通过资格审查的投标人不进入评标。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rPr>
        <w:t>.3投标人存在不良信用记录的，其投标将被认定为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rPr>
        <w:t>.3.1不良信用记录是指：</w:t>
      </w:r>
      <w:bookmarkStart w:id="22" w:name="_Hlk24663244"/>
      <w:r>
        <w:rPr>
          <w:rFonts w:hint="default" w:ascii="Times New Roman" w:hAnsi="Times New Roman" w:eastAsia="宋体" w:cs="Times New Roman"/>
          <w:color w:val="auto"/>
          <w:sz w:val="24"/>
          <w:szCs w:val="18"/>
          <w:highlight w:val="none"/>
        </w:rPr>
        <w:t>（1）供应商被人民法院列入失信被执行人；（2）供应商被税务部门列入重大税收违法案件当事人名单。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以联合体形式参加投标的，联合体任何成员存在以上不良信用记录的，联合体投标将被认定为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rPr>
        <w:t>.3.2信用信息查询渠道：“信用中国”网站（www.creditchina.gov.cn）。</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rPr>
        <w:t>.3.3信用信息记录方式：投标人将查询网页打印、盖章并在投标文件中提供。查询网页必须体现被查询人名称、查询时间、查询结果。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投标人对不良信用记录的真实性和有效性负责。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bookmarkStart w:id="23" w:name="_Hlk24663338"/>
      <w:r>
        <w:rPr>
          <w:rFonts w:hint="default" w:ascii="Times New Roman" w:hAnsi="Times New Roman" w:eastAsia="宋体" w:cs="Times New Roman"/>
          <w:color w:val="auto"/>
          <w:sz w:val="24"/>
          <w:highlight w:val="none"/>
        </w:rPr>
        <w:t>信用信息查询时间为投标截止时间前2个工作日内。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在本招标文件规定的查询时间之外，网站信息发生的任何变更均不作为资格审查依据。</w:t>
      </w:r>
    </w:p>
    <w:bookmarkEnd w:id="22"/>
    <w:bookmarkEnd w:id="23"/>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val="en-US" w:eastAsia="zh-CN"/>
        </w:rPr>
        <w:t>19</w:t>
      </w:r>
      <w:r>
        <w:rPr>
          <w:rFonts w:hint="default" w:ascii="Times New Roman" w:hAnsi="Times New Roman" w:eastAsia="宋体" w:cs="Times New Roman"/>
          <w:b/>
          <w:color w:val="auto"/>
          <w:sz w:val="24"/>
          <w:highlight w:val="none"/>
        </w:rPr>
        <w:t>.投标文件符合性审查与澄清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19</w:t>
      </w:r>
      <w:r>
        <w:rPr>
          <w:rFonts w:hint="default" w:ascii="Times New Roman" w:hAnsi="Times New Roman" w:eastAsia="宋体" w:cs="Times New Roman"/>
          <w:color w:val="auto"/>
          <w:sz w:val="24"/>
          <w:highlight w:val="none"/>
        </w:rPr>
        <w:t>.1符合性审查是指依据招标文件的规定，从投标文件的有效性和完整性对招标文件的响应程度进行审查，以确定是否对招标文件的实质性要求做出响应。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19</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投标文件的澄清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19</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1为有助于投标文件的审查、评价和比较，在评标期间，评标委员会将以书面方式（询标）要求投标人对其投标文件中含义不明确、对同类问题表述不一致或者有明显文字和计算错误的内容，以及评标委员会认为投标人的报价明显低于其他通过符合性审查投标人的报价，有可能影响履约的情况</w:t>
      </w:r>
      <w:r>
        <w:rPr>
          <w:rFonts w:hint="default" w:ascii="Times New Roman" w:hAnsi="Times New Roman" w:eastAsia="宋体" w:cs="Times New Roman"/>
          <w:color w:val="auto"/>
          <w:sz w:val="24"/>
          <w:highlight w:val="none"/>
          <w:lang w:eastAsia="zh-CN"/>
        </w:rPr>
        <w:t>做必要的</w:t>
      </w:r>
      <w:r>
        <w:rPr>
          <w:rFonts w:hint="default" w:ascii="Times New Roman" w:hAnsi="Times New Roman" w:eastAsia="宋体" w:cs="Times New Roman"/>
          <w:color w:val="auto"/>
          <w:sz w:val="24"/>
          <w:highlight w:val="none"/>
        </w:rPr>
        <w:t>澄清、说明或补正。投标人的澄清、说明或补正应在评标委员会规定的时间内以书面方式进行，并不得超出投标文件范围或者改变投标文件的实质性内容。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如有询标，授权代表（或法定代表人）携带本人有效身份证明原件参加询标。因授权代表联系不上、未到开标现场等情形而无法接受评审委员会询标的，投标人自行承担相关风险。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19</w:t>
      </w:r>
      <w:r>
        <w:rPr>
          <w:rFonts w:hint="default" w:ascii="Times New Roman" w:hAnsi="Times New Roman" w:eastAsia="宋体" w:cs="Times New Roman"/>
          <w:color w:val="auto"/>
          <w:sz w:val="24"/>
          <w:highlight w:val="none"/>
        </w:rPr>
        <w:t>.4.2投标人的澄清、说明或补正将作为投标文件的一部分。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19</w:t>
      </w:r>
      <w:r>
        <w:rPr>
          <w:rFonts w:hint="default" w:ascii="Times New Roman" w:hAnsi="Times New Roman" w:eastAsia="宋体" w:cs="Times New Roman"/>
          <w:color w:val="auto"/>
          <w:sz w:val="24"/>
          <w:highlight w:val="none"/>
        </w:rPr>
        <w:t>.4.3评标委员会对投标人提交的澄清、说明或补正有疑问的，可以要求投标人进一步澄清、说明或补正，直至满足评标委员会的要求。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19</w:t>
      </w:r>
      <w:r>
        <w:rPr>
          <w:rFonts w:hint="default" w:ascii="Times New Roman" w:hAnsi="Times New Roman" w:eastAsia="宋体" w:cs="Times New Roman"/>
          <w:color w:val="auto"/>
          <w:sz w:val="24"/>
          <w:highlight w:val="none"/>
        </w:rPr>
        <w:t>.5投标文件报价出现前后不一致的，按照下列规定修正：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（1）投标文件中开标一览表内容与投标文件中相应内容不一致的，以开标一览表为准；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（3）单价金额小数点或者百分比有明显错位的，以开标一览表的总价为准，并修改单价；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（4）总价金额与按单价汇总金额不一致的，以单价金额计算结果为准。同时出现两种以上不一致的，按照前款规定的顺序修正。修正后的报价按照第</w:t>
      </w:r>
      <w:r>
        <w:rPr>
          <w:rFonts w:hint="default" w:ascii="Times New Roman" w:hAnsi="Times New Roman" w:eastAsia="宋体" w:cs="Times New Roman"/>
          <w:color w:val="auto"/>
          <w:sz w:val="24"/>
          <w:highlight w:val="none"/>
          <w:lang w:val="en-US" w:eastAsia="zh-CN"/>
        </w:rPr>
        <w:t>20.4条的规定经投标人确认后产生约束力，投标人不确认的，其投标将被认定为投标无效。</w:t>
      </w:r>
      <w:r>
        <w:rPr>
          <w:rFonts w:hint="default" w:ascii="Times New Roman" w:hAnsi="Times New Roman" w:eastAsia="宋体" w:cs="Times New Roman"/>
          <w:color w:val="auto"/>
          <w:sz w:val="24"/>
          <w:highlight w:val="none"/>
        </w:rPr>
        <w:t>对不同文字文本投标文件的解释发生异议的，以中文文本为准。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w:t>
      </w:r>
      <w:r>
        <w:rPr>
          <w:rFonts w:hint="default" w:ascii="Times New Roman" w:hAnsi="Times New Roman" w:eastAsia="宋体" w:cs="Times New Roman"/>
          <w:b/>
          <w:color w:val="auto"/>
          <w:sz w:val="24"/>
          <w:highlight w:val="none"/>
          <w:lang w:val="en-US" w:eastAsia="zh-CN"/>
        </w:rPr>
        <w:t>0</w:t>
      </w:r>
      <w:r>
        <w:rPr>
          <w:rFonts w:hint="default" w:ascii="Times New Roman" w:hAnsi="Times New Roman" w:eastAsia="宋体" w:cs="Times New Roman"/>
          <w:b/>
          <w:color w:val="auto"/>
          <w:sz w:val="24"/>
          <w:highlight w:val="none"/>
        </w:rPr>
        <w:t>.投标无效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0</w:t>
      </w:r>
      <w:r>
        <w:rPr>
          <w:rFonts w:hint="default" w:ascii="Times New Roman" w:hAnsi="Times New Roman" w:eastAsia="宋体" w:cs="Times New Roman"/>
          <w:color w:val="auto"/>
          <w:sz w:val="24"/>
          <w:highlight w:val="none"/>
        </w:rPr>
        <w:t>.1根据本招标文件的规定，评标委员会要审查每份投标文件是否实质上响应了招标文件的要求。投标人不得通过修正或撤销不符合要求的偏离，从而使其投标成为实质上响应的投标。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评标委员会决定投标的响应性只根据招标文件要求和投标文件内容。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无论何种原因，即使投标人投标时携带了证书材料的原件，但投标文件中未提供与之内容完全一致的影印件或复印件的，评标委员会视同其未提供。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0</w:t>
      </w:r>
      <w:r>
        <w:rPr>
          <w:rFonts w:hint="default" w:ascii="Times New Roman" w:hAnsi="Times New Roman" w:eastAsia="宋体" w:cs="Times New Roman"/>
          <w:color w:val="auto"/>
          <w:sz w:val="24"/>
          <w:highlight w:val="none"/>
        </w:rPr>
        <w:t>.2如发现下列情况之一的，其投标将被认定为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（1）投标文件未按照招标文件规定要求签署、盖章的；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（2）不具备招标文件中规定的资格要求的；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（3）报价超过招标文件中规定的预算金额或者最高限价的；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（4）投标文件不满足招标文件全部实质性要求的；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（5）投标文件含有</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不能接受的附加条件的；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（6）法律、法规和招标文件规定的其他无效情形。</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w:t>
      </w:r>
      <w:r>
        <w:rPr>
          <w:rFonts w:hint="default" w:ascii="Times New Roman" w:hAnsi="Times New Roman" w:eastAsia="宋体" w:cs="Times New Roman"/>
          <w:b/>
          <w:color w:val="auto"/>
          <w:sz w:val="24"/>
          <w:highlight w:val="none"/>
          <w:lang w:val="en-US" w:eastAsia="zh-CN"/>
        </w:rPr>
        <w:t>1</w:t>
      </w:r>
      <w:r>
        <w:rPr>
          <w:rFonts w:hint="default" w:ascii="Times New Roman" w:hAnsi="Times New Roman" w:eastAsia="宋体" w:cs="Times New Roman"/>
          <w:b/>
          <w:color w:val="auto"/>
          <w:sz w:val="24"/>
          <w:highlight w:val="none"/>
        </w:rPr>
        <w:t>.比较与评价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.1经符合性审查合格的投标文件，评标委员会将根据招标文件确定的评标方法和标准，对其投标文件作进一步的比较与评价。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.2评标严格按照招标文件的要求和条件进行。根据实际情况，在</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中规定采用下列一种评标方法，详细评标方法和标准见招标文件第</w:t>
      </w:r>
      <w:r>
        <w:rPr>
          <w:rFonts w:hint="eastAsia" w:ascii="Times New Roman" w:hAnsi="Times New Roman" w:eastAsia="宋体" w:cs="Times New Roman"/>
          <w:color w:val="auto"/>
          <w:sz w:val="24"/>
          <w:highlight w:val="none"/>
          <w:lang w:val="en-US" w:eastAsia="zh-CN"/>
        </w:rPr>
        <w:t>三</w:t>
      </w:r>
      <w:r>
        <w:rPr>
          <w:rFonts w:hint="default" w:ascii="Times New Roman" w:hAnsi="Times New Roman" w:eastAsia="宋体" w:cs="Times New Roman"/>
          <w:color w:val="auto"/>
          <w:sz w:val="24"/>
          <w:highlight w:val="none"/>
        </w:rPr>
        <w:t>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（1）最低评标价法，是指投标文件满足招标文件全部实质性要求，且投标报价最低的投标人为中标候选人的评标方法。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（2）综合评分法，是指投标文件满足招标文件全部实质性要求，且按照评审因素的量化指标评审得分最高的投标人为中标候选人的评标方法。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w:t>
      </w:r>
      <w:r>
        <w:rPr>
          <w:rFonts w:hint="default" w:ascii="Times New Roman" w:hAnsi="Times New Roman" w:eastAsia="宋体" w:cs="Times New Roman"/>
          <w:b/>
          <w:color w:val="auto"/>
          <w:sz w:val="24"/>
          <w:highlight w:val="none"/>
          <w:lang w:val="en-US" w:eastAsia="zh-CN"/>
        </w:rPr>
        <w:t>2</w:t>
      </w:r>
      <w:r>
        <w:rPr>
          <w:rFonts w:hint="default" w:ascii="Times New Roman" w:hAnsi="Times New Roman" w:eastAsia="宋体" w:cs="Times New Roman"/>
          <w:b/>
          <w:color w:val="auto"/>
          <w:sz w:val="24"/>
          <w:highlight w:val="none"/>
        </w:rPr>
        <w:t>.废标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出现下列情形之一，将导致项目废标：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（1）符合专业条件的投标人或者对招标文件做实质性响应的投标人不足规定数量的；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（2）出现影响采购公正的违法、违规行为的；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（3）投标人的报价均超过了采购预算，</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不能支付的；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（4）因重大变故，采购任务取消的。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w:t>
      </w:r>
      <w:r>
        <w:rPr>
          <w:rFonts w:hint="default" w:ascii="Times New Roman" w:hAnsi="Times New Roman" w:eastAsia="宋体" w:cs="Times New Roman"/>
          <w:b/>
          <w:color w:val="auto"/>
          <w:sz w:val="24"/>
          <w:highlight w:val="none"/>
          <w:lang w:val="en-US" w:eastAsia="zh-CN"/>
        </w:rPr>
        <w:t>3</w:t>
      </w:r>
      <w:r>
        <w:rPr>
          <w:rFonts w:hint="default" w:ascii="Times New Roman" w:hAnsi="Times New Roman" w:eastAsia="宋体" w:cs="Times New Roman"/>
          <w:b/>
          <w:color w:val="auto"/>
          <w:sz w:val="24"/>
          <w:highlight w:val="none"/>
        </w:rPr>
        <w:t>.保密要求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.1评标将在严格保密的情况下进行。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.2有关人员应当遵守评标工作纪律，不得泄露评标文件、评标情况和评标中获悉的国家秘密、商业秘密。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w:t>
      </w:r>
      <w:r>
        <w:rPr>
          <w:rFonts w:hint="default" w:ascii="Times New Roman" w:hAnsi="Times New Roman" w:eastAsia="宋体" w:cs="Times New Roman"/>
          <w:b/>
          <w:color w:val="auto"/>
          <w:sz w:val="24"/>
          <w:highlight w:val="none"/>
          <w:lang w:val="en-US" w:eastAsia="zh-CN"/>
        </w:rPr>
        <w:t>4</w:t>
      </w:r>
      <w:r>
        <w:rPr>
          <w:rFonts w:hint="default" w:ascii="Times New Roman" w:hAnsi="Times New Roman" w:eastAsia="宋体" w:cs="Times New Roman"/>
          <w:b/>
          <w:color w:val="auto"/>
          <w:sz w:val="24"/>
          <w:highlight w:val="none"/>
        </w:rPr>
        <w:t>.中标候选人的确定原则及标准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.1评标委员会依据本项目招标文件所约定的评标方法，对实质上响应招标文件的投标人按下列方法进行排序，确定中标候选人：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采用最低评标价法的，除了算术修正外，不对投标人的投标价格进行任何调整。评标结果按修正后的投标报价由低到高顺序排列。修正后的投标报价出现两家或两家以上相同者，采取评标委员会抽签方式确定中标候选顺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（2）采用综合评分法的，评标结果按评审后得分由高到低顺序排列。得分相同的，按投标报价由低到高顺序排列。得分与投标报价均相同的，采取评标委员会抽签方式确定中标候选顺序。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w:t>
      </w:r>
      <w:r>
        <w:rPr>
          <w:rFonts w:hint="default" w:ascii="Times New Roman" w:hAnsi="Times New Roman" w:eastAsia="宋体" w:cs="Times New Roman"/>
          <w:b/>
          <w:color w:val="auto"/>
          <w:sz w:val="24"/>
          <w:highlight w:val="none"/>
          <w:lang w:val="en-US" w:eastAsia="zh-CN"/>
        </w:rPr>
        <w:t>5</w:t>
      </w:r>
      <w:r>
        <w:rPr>
          <w:rFonts w:hint="default" w:ascii="Times New Roman" w:hAnsi="Times New Roman" w:eastAsia="宋体" w:cs="Times New Roman"/>
          <w:b/>
          <w:color w:val="auto"/>
          <w:sz w:val="24"/>
          <w:highlight w:val="none"/>
        </w:rPr>
        <w:t>.确定中标候选人和中标人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.1评标委员会将根据评标标准，按</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中规定数量推荐中标候选人。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.2按</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中规定，由评标委员会或</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确定中标人。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.3因重大变故采购任务取消时，</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有权拒绝任何投标人中标，且对受影响的投标人不承担任何责任。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w:t>
      </w:r>
      <w:r>
        <w:rPr>
          <w:rFonts w:hint="default" w:ascii="Times New Roman" w:hAnsi="Times New Roman" w:eastAsia="宋体" w:cs="Times New Roman"/>
          <w:b/>
          <w:color w:val="auto"/>
          <w:sz w:val="24"/>
          <w:highlight w:val="none"/>
          <w:lang w:val="en-US" w:eastAsia="zh-CN"/>
        </w:rPr>
        <w:t>6</w:t>
      </w:r>
      <w:r>
        <w:rPr>
          <w:rFonts w:hint="default" w:ascii="Times New Roman" w:hAnsi="Times New Roman" w:eastAsia="宋体" w:cs="Times New Roman"/>
          <w:b/>
          <w:color w:val="auto"/>
          <w:sz w:val="24"/>
          <w:highlight w:val="none"/>
        </w:rPr>
        <w:t>.编写评标报告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w:t>
      </w:r>
      <w:r>
        <w:rPr>
          <w:rFonts w:hint="default" w:ascii="Times New Roman" w:hAnsi="Times New Roman" w:eastAsia="宋体" w:cs="Times New Roman"/>
          <w:b/>
          <w:color w:val="auto"/>
          <w:sz w:val="24"/>
          <w:highlight w:val="none"/>
          <w:lang w:val="en-US" w:eastAsia="zh-CN"/>
        </w:rPr>
        <w:t>7</w:t>
      </w:r>
      <w:r>
        <w:rPr>
          <w:rFonts w:hint="default" w:ascii="Times New Roman" w:hAnsi="Times New Roman" w:eastAsia="宋体" w:cs="Times New Roman"/>
          <w:b/>
          <w:color w:val="auto"/>
          <w:sz w:val="24"/>
          <w:highlight w:val="none"/>
        </w:rPr>
        <w:t>.中标结果公告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应当自收到评标报告之日起５日内，在评标报告确定的中标候选人名单中按顺序确定中标人。中标候选人并列的，由</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或者</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委托评标委员会按照招标文件规定的方式确定中标人；招标文件未规定的，采取随机抽取的方式确定。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rPr>
        <w:t>.2自中标人确定之日起2日内，</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将在</w:t>
      </w:r>
      <w:r>
        <w:rPr>
          <w:rFonts w:hint="default" w:ascii="Times New Roman" w:hAnsi="Times New Roman" w:eastAsia="宋体" w:cs="Times New Roman"/>
          <w:color w:val="auto"/>
          <w:sz w:val="24"/>
          <w:szCs w:val="22"/>
          <w:highlight w:val="none"/>
          <w:lang w:val="en-US" w:eastAsia="zh-CN"/>
        </w:rPr>
        <w:t>公司网站</w:t>
      </w:r>
      <w:r>
        <w:rPr>
          <w:rFonts w:hint="default" w:ascii="Times New Roman" w:hAnsi="Times New Roman" w:eastAsia="宋体" w:cs="Times New Roman"/>
          <w:color w:val="auto"/>
          <w:sz w:val="24"/>
          <w:highlight w:val="none"/>
        </w:rPr>
        <w:t>发布中标结果公告。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rPr>
        <w:t>.3中标结果公告内容应当包括</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名称、地址、联系方式，项目名称和项目编号，中标人名称、地址和中标金额，主要中标标的的名称、规格型号、数量、单价、服务要求，中标公告期限、评审专家名单以及</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中约定进行公告的内容。中标公告期限为</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w:t>
      </w:r>
      <w:r>
        <w:rPr>
          <w:rFonts w:hint="default" w:ascii="Times New Roman" w:hAnsi="Times New Roman" w:eastAsia="宋体" w:cs="Times New Roman"/>
          <w:b/>
          <w:color w:val="auto"/>
          <w:sz w:val="24"/>
          <w:highlight w:val="none"/>
          <w:lang w:val="en-US" w:eastAsia="zh-CN"/>
        </w:rPr>
        <w:t>8</w:t>
      </w:r>
      <w:r>
        <w:rPr>
          <w:rFonts w:hint="default" w:ascii="Times New Roman" w:hAnsi="Times New Roman" w:eastAsia="宋体" w:cs="Times New Roman"/>
          <w:b/>
          <w:color w:val="auto"/>
          <w:sz w:val="24"/>
          <w:highlight w:val="none"/>
        </w:rPr>
        <w:t>.中标通知书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发布中标公告</w:t>
      </w:r>
      <w:r>
        <w:rPr>
          <w:rFonts w:hint="default" w:ascii="Times New Roman" w:hAnsi="Times New Roman" w:eastAsia="宋体" w:cs="Times New Roman"/>
          <w:iCs/>
          <w:color w:val="auto"/>
          <w:sz w:val="24"/>
          <w:highlight w:val="none"/>
        </w:rPr>
        <w:t>的</w:t>
      </w:r>
      <w:r>
        <w:rPr>
          <w:rFonts w:hint="default" w:ascii="Times New Roman" w:hAnsi="Times New Roman" w:eastAsia="宋体" w:cs="Times New Roman"/>
          <w:color w:val="auto"/>
          <w:sz w:val="24"/>
          <w:highlight w:val="none"/>
        </w:rPr>
        <w:t>同时向中标人发出中标通知书。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rPr>
        <w:t>.2中标通知书对</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和中标人具有同等法律效力。中标通知书发出以后，</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改变中标结果或者中标人放弃中标，应当承担相应的法律责任。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rPr>
        <w:t>.3中标通知书是合同的组成部分。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val="en-US" w:eastAsia="zh-CN"/>
        </w:rPr>
        <w:t>29</w:t>
      </w:r>
      <w:r>
        <w:rPr>
          <w:rFonts w:hint="default" w:ascii="Times New Roman" w:hAnsi="Times New Roman" w:eastAsia="宋体" w:cs="Times New Roman"/>
          <w:b/>
          <w:color w:val="auto"/>
          <w:sz w:val="24"/>
          <w:highlight w:val="none"/>
        </w:rPr>
        <w:t>.告知招标结果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29</w:t>
      </w:r>
      <w:r>
        <w:rPr>
          <w:rFonts w:hint="default" w:ascii="Times New Roman" w:hAnsi="Times New Roman" w:eastAsia="宋体" w:cs="Times New Roman"/>
          <w:color w:val="auto"/>
          <w:sz w:val="24"/>
          <w:highlight w:val="none"/>
        </w:rPr>
        <w:t>.1在公告中标结果的同时，</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同时以</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规定的形式告知未通过资格审查的投标人未通过的原因；采用综合评分法评审的，还将告知未中标人本人的评审得分和排序。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w:t>
      </w:r>
      <w:r>
        <w:rPr>
          <w:rFonts w:hint="default" w:ascii="Times New Roman" w:hAnsi="Times New Roman" w:eastAsia="宋体" w:cs="Times New Roman"/>
          <w:b/>
          <w:color w:val="auto"/>
          <w:sz w:val="24"/>
          <w:highlight w:val="none"/>
          <w:lang w:val="en-US" w:eastAsia="zh-CN"/>
        </w:rPr>
        <w:t>0</w:t>
      </w:r>
      <w:r>
        <w:rPr>
          <w:rFonts w:hint="default" w:ascii="Times New Roman" w:hAnsi="Times New Roman" w:eastAsia="宋体" w:cs="Times New Roman"/>
          <w:b/>
          <w:color w:val="auto"/>
          <w:sz w:val="24"/>
          <w:highlight w:val="none"/>
        </w:rPr>
        <w:t>.履约保证金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val="en-US" w:eastAsia="zh-CN"/>
        </w:rPr>
        <w:t>0</w:t>
      </w:r>
      <w:r>
        <w:rPr>
          <w:rFonts w:hint="default" w:ascii="Times New Roman" w:hAnsi="Times New Roman" w:eastAsia="宋体" w:cs="Times New Roman"/>
          <w:color w:val="auto"/>
          <w:sz w:val="24"/>
          <w:highlight w:val="none"/>
        </w:rPr>
        <w:t>.1中标人应按照</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规定缴纳履约保证金。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val="en-US" w:eastAsia="zh-CN"/>
        </w:rPr>
        <w:t>0</w:t>
      </w:r>
      <w:r>
        <w:rPr>
          <w:rFonts w:hint="default" w:ascii="Times New Roman" w:hAnsi="Times New Roman" w:eastAsia="宋体" w:cs="Times New Roman"/>
          <w:color w:val="auto"/>
          <w:sz w:val="24"/>
          <w:highlight w:val="none"/>
        </w:rPr>
        <w:t>.2如果中标人没有按照上述履约保证金的规定执行，将视为放弃中标资格。在此情况下，</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可确定下一中标候选人为中标人，也可以重新开展采购活动。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w:t>
      </w:r>
      <w:r>
        <w:rPr>
          <w:rFonts w:hint="default" w:ascii="Times New Roman" w:hAnsi="Times New Roman" w:eastAsia="宋体" w:cs="Times New Roman"/>
          <w:b/>
          <w:color w:val="auto"/>
          <w:sz w:val="24"/>
          <w:highlight w:val="none"/>
          <w:lang w:val="en-US" w:eastAsia="zh-CN"/>
        </w:rPr>
        <w:t>1</w:t>
      </w:r>
      <w:r>
        <w:rPr>
          <w:rFonts w:hint="default" w:ascii="Times New Roman" w:hAnsi="Times New Roman" w:eastAsia="宋体" w:cs="Times New Roman"/>
          <w:b/>
          <w:color w:val="auto"/>
          <w:sz w:val="24"/>
          <w:highlight w:val="none"/>
        </w:rPr>
        <w:t>.签订合同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与中标人应当自发出中标通知书之日起30日内签订合同。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.2招标文件、中标人的投标文件及其澄清文件等，均为签订合同的依据。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.3中标人拒绝与</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签订合同的，</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可以按照评审报告推荐的中标候选人名单排序，确定下一中标候选人为中标人，也可以重新开展采购活动。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.4当出现法规规定的中标无效或中标结果无效情形时，</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可依法与排名下一位的中标候选人另行签订合同，或依法重新开展采购活动。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.5 投标人签订合同前，需向</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演示投标产品的相关功能。否则</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有权变更中标人。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w:t>
      </w:r>
      <w:r>
        <w:rPr>
          <w:rFonts w:hint="default" w:ascii="Times New Roman" w:hAnsi="Times New Roman" w:eastAsia="宋体" w:cs="Times New Roman"/>
          <w:b/>
          <w:color w:val="auto"/>
          <w:sz w:val="24"/>
          <w:highlight w:val="none"/>
          <w:lang w:val="en-US" w:eastAsia="zh-CN"/>
        </w:rPr>
        <w:t>2</w:t>
      </w:r>
      <w:r>
        <w:rPr>
          <w:rFonts w:hint="default" w:ascii="Times New Roman" w:hAnsi="Times New Roman" w:eastAsia="宋体" w:cs="Times New Roman"/>
          <w:b/>
          <w:color w:val="auto"/>
          <w:sz w:val="24"/>
          <w:highlight w:val="none"/>
        </w:rPr>
        <w:t>.中标服务费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.1本项目中标服务费的收取按</w:t>
      </w:r>
      <w:r>
        <w:rPr>
          <w:rFonts w:hint="default" w:ascii="Times New Roman" w:hAnsi="Times New Roman" w:eastAsia="宋体" w:cs="Times New Roman"/>
          <w:color w:val="auto"/>
          <w:sz w:val="24"/>
          <w:highlight w:val="none"/>
          <w:u w:val="single"/>
        </w:rPr>
        <w:t>投标人须知前附表的</w:t>
      </w:r>
      <w:r>
        <w:rPr>
          <w:rFonts w:hint="default" w:ascii="Times New Roman" w:hAnsi="Times New Roman" w:eastAsia="宋体" w:cs="Times New Roman"/>
          <w:color w:val="auto"/>
          <w:sz w:val="24"/>
          <w:highlight w:val="none"/>
        </w:rPr>
        <w:t>规定执行。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bookmarkStart w:id="24" w:name="_Toc2583661"/>
      <w:bookmarkStart w:id="25" w:name="_Toc518923100"/>
      <w:r>
        <w:rPr>
          <w:rFonts w:hint="default" w:ascii="Times New Roman" w:hAnsi="Times New Roman" w:eastAsia="宋体" w:cs="Times New Roman"/>
          <w:b/>
          <w:color w:val="auto"/>
          <w:sz w:val="24"/>
          <w:highlight w:val="none"/>
        </w:rPr>
        <w:t>3</w:t>
      </w:r>
      <w:r>
        <w:rPr>
          <w:rFonts w:hint="default" w:ascii="Times New Roman" w:hAnsi="Times New Roman" w:eastAsia="宋体" w:cs="Times New Roman"/>
          <w:b/>
          <w:color w:val="auto"/>
          <w:sz w:val="24"/>
          <w:highlight w:val="none"/>
          <w:lang w:val="en-US" w:eastAsia="zh-CN"/>
        </w:rPr>
        <w:t>3</w:t>
      </w:r>
      <w:r>
        <w:rPr>
          <w:rFonts w:hint="default" w:ascii="Times New Roman" w:hAnsi="Times New Roman" w:eastAsia="宋体" w:cs="Times New Roman"/>
          <w:b/>
          <w:color w:val="auto"/>
          <w:sz w:val="24"/>
          <w:highlight w:val="none"/>
        </w:rPr>
        <w:t>.廉洁自律规定</w:t>
      </w:r>
      <w:bookmarkEnd w:id="24"/>
      <w:bookmarkEnd w:id="2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.1采购工作人员不得接受投标人组织的宴请、旅游、娱乐，不得收受礼品、现金、有价证券等，不得向投标人报销应当由个人承担的费用。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default" w:ascii="Times New Roman" w:hAnsi="Times New Roman" w:eastAsia="宋体" w:cs="Times New Roman"/>
          <w:b/>
          <w:color w:val="auto"/>
          <w:sz w:val="24"/>
          <w:highlight w:val="none"/>
        </w:rPr>
      </w:pPr>
      <w:bookmarkStart w:id="26" w:name="_Toc518923101"/>
      <w:bookmarkStart w:id="27" w:name="_Toc2583662"/>
      <w:r>
        <w:rPr>
          <w:rFonts w:hint="default" w:ascii="Times New Roman" w:hAnsi="Times New Roman" w:eastAsia="宋体" w:cs="Times New Roman"/>
          <w:b/>
          <w:color w:val="auto"/>
          <w:sz w:val="24"/>
          <w:highlight w:val="none"/>
        </w:rPr>
        <w:t>3</w:t>
      </w:r>
      <w:r>
        <w:rPr>
          <w:rFonts w:hint="default" w:ascii="Times New Roman" w:hAnsi="Times New Roman" w:eastAsia="宋体" w:cs="Times New Roman"/>
          <w:b/>
          <w:color w:val="auto"/>
          <w:sz w:val="24"/>
          <w:highlight w:val="none"/>
          <w:lang w:val="en-US" w:eastAsia="zh-CN"/>
        </w:rPr>
        <w:t>4</w:t>
      </w:r>
      <w:r>
        <w:rPr>
          <w:rFonts w:hint="default" w:ascii="Times New Roman" w:hAnsi="Times New Roman" w:eastAsia="宋体" w:cs="Times New Roman"/>
          <w:b/>
          <w:color w:val="auto"/>
          <w:sz w:val="24"/>
          <w:highlight w:val="none"/>
        </w:rPr>
        <w:t>.人员回避</w:t>
      </w:r>
      <w:bookmarkEnd w:id="26"/>
      <w:bookmarkEnd w:id="2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color w:val="auto"/>
          <w:sz w:val="24"/>
          <w:highlight w:val="none"/>
        </w:rPr>
      </w:pPr>
      <w:r>
        <w:rPr>
          <w:rFonts w:hint="default" w:ascii="Times New Roman" w:hAnsi="Times New Roman" w:eastAsia="宋体" w:cs="Times New Roman"/>
          <w:color w:val="auto"/>
          <w:sz w:val="24"/>
          <w:highlight w:val="none"/>
        </w:rPr>
        <w:t>投标人认为</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员及其相关人员有法律法规所列与其他投标人有利害关系的，可以向</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书面提出回避申请，并说明理由。</w:t>
      </w:r>
    </w:p>
    <w:p>
      <w:pPr>
        <w:spacing w:line="360" w:lineRule="auto"/>
        <w:jc w:val="both"/>
        <w:outlineLvl w:val="1"/>
        <w:rPr>
          <w:rFonts w:hint="default" w:ascii="Times New Roman" w:hAnsi="Times New Roman" w:eastAsia="宋体" w:cs="Times New Roman"/>
          <w:b/>
          <w:color w:val="auto"/>
          <w:sz w:val="28"/>
          <w:highlight w:val="none"/>
        </w:rPr>
      </w:pPr>
    </w:p>
    <w:p>
      <w:pPr>
        <w:spacing w:line="360" w:lineRule="auto"/>
        <w:jc w:val="center"/>
        <w:outlineLvl w:val="1"/>
        <w:rPr>
          <w:rFonts w:hint="default" w:ascii="Times New Roman" w:hAnsi="Times New Roman" w:eastAsia="宋体" w:cs="Times New Roman"/>
          <w:b/>
          <w:color w:val="auto"/>
          <w:sz w:val="28"/>
          <w:highlight w:val="none"/>
          <w:lang w:val="en-US" w:eastAsia="zh-CN"/>
        </w:rPr>
      </w:pPr>
      <w:r>
        <w:rPr>
          <w:rFonts w:hint="default" w:ascii="Times New Roman" w:hAnsi="Times New Roman" w:eastAsia="宋体" w:cs="Times New Roman"/>
          <w:b/>
          <w:color w:val="auto"/>
          <w:sz w:val="28"/>
          <w:highlight w:val="none"/>
        </w:rPr>
        <w:br w:type="page"/>
      </w:r>
      <w:r>
        <w:rPr>
          <w:rFonts w:hint="default" w:ascii="Times New Roman" w:hAnsi="Times New Roman" w:eastAsia="宋体" w:cs="Times New Roman"/>
          <w:b/>
          <w:color w:val="auto"/>
          <w:sz w:val="28"/>
          <w:highlight w:val="none"/>
        </w:rPr>
        <w:t xml:space="preserve">第三章  </w:t>
      </w:r>
      <w:r>
        <w:rPr>
          <w:rFonts w:hint="eastAsia" w:ascii="Times New Roman" w:hAnsi="Times New Roman" w:eastAsia="宋体" w:cs="Times New Roman"/>
          <w:b/>
          <w:color w:val="auto"/>
          <w:sz w:val="28"/>
          <w:highlight w:val="none"/>
          <w:lang w:val="en-US" w:eastAsia="zh-CN"/>
        </w:rPr>
        <w:t>评标方法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一、总则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本项目将按照招标文件第二章 投标人须知的相关要求及本章的规定评标。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二、评标方法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2.1资格审查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由评标委员会进行资格审查。资格审查表如下：</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607"/>
        <w:gridCol w:w="2137"/>
        <w:gridCol w:w="4559"/>
        <w:gridCol w:w="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5"/>
            <w:tcBorders>
              <w:bottom w:val="single" w:color="auto" w:sz="4" w:space="0"/>
            </w:tcBorders>
            <w:noWrap w:val="0"/>
            <w:vAlign w:val="center"/>
          </w:tcPr>
          <w:p>
            <w:pPr>
              <w:adjustRightInd w:val="0"/>
              <w:snapToGrid w:val="0"/>
              <w:spacing w:line="360" w:lineRule="auto"/>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b/>
                <w:color w:val="auto"/>
                <w:sz w:val="24"/>
                <w:szCs w:val="22"/>
                <w:highlight w:val="none"/>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jc w:val="center"/>
        </w:trPr>
        <w:tc>
          <w:tcPr>
            <w:tcW w:w="408" w:type="pct"/>
            <w:tcBorders>
              <w:bottom w:val="single" w:color="auto" w:sz="4" w:space="0"/>
            </w:tcBorders>
            <w:noWrap w:val="0"/>
            <w:vAlign w:val="center"/>
          </w:tcPr>
          <w:p>
            <w:pPr>
              <w:adjustRightInd w:val="0"/>
              <w:snapToGrid w:val="0"/>
              <w:spacing w:line="360" w:lineRule="auto"/>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序号</w:t>
            </w:r>
          </w:p>
        </w:tc>
        <w:tc>
          <w:tcPr>
            <w:tcW w:w="887" w:type="pct"/>
            <w:tcBorders>
              <w:bottom w:val="single" w:color="auto" w:sz="4" w:space="0"/>
            </w:tcBorders>
            <w:noWrap w:val="0"/>
            <w:vAlign w:val="center"/>
          </w:tcPr>
          <w:p>
            <w:pPr>
              <w:pStyle w:val="24"/>
              <w:pBdr>
                <w:bottom w:val="none" w:color="auto" w:sz="0" w:space="0"/>
              </w:pBdr>
              <w:tabs>
                <w:tab w:val="clear" w:pos="4153"/>
                <w:tab w:val="clear" w:pos="8306"/>
              </w:tabs>
              <w:snapToGrid w:val="0"/>
              <w:spacing w:line="360" w:lineRule="auto"/>
              <w:ind w:right="-10"/>
              <w:textAlignment w:val="auto"/>
              <w:rPr>
                <w:rFonts w:hint="default" w:ascii="Times New Roman" w:hAnsi="Times New Roman" w:eastAsia="宋体" w:cs="Times New Roman"/>
                <w:color w:val="auto"/>
                <w:kern w:val="2"/>
                <w:szCs w:val="24"/>
                <w:highlight w:val="none"/>
              </w:rPr>
            </w:pPr>
            <w:r>
              <w:rPr>
                <w:rFonts w:hint="default" w:ascii="Times New Roman" w:hAnsi="Times New Roman" w:eastAsia="宋体" w:cs="Times New Roman"/>
                <w:color w:val="auto"/>
                <w:kern w:val="2"/>
                <w:szCs w:val="24"/>
                <w:highlight w:val="none"/>
              </w:rPr>
              <w:t>评审指标</w:t>
            </w:r>
          </w:p>
        </w:tc>
        <w:tc>
          <w:tcPr>
            <w:tcW w:w="1179" w:type="pct"/>
            <w:tcBorders>
              <w:bottom w:val="single" w:color="auto" w:sz="4" w:space="0"/>
            </w:tcBorders>
            <w:noWrap w:val="0"/>
            <w:vAlign w:val="center"/>
          </w:tcPr>
          <w:p>
            <w:pPr>
              <w:adjustRightInd w:val="0"/>
              <w:snapToGrid w:val="0"/>
              <w:spacing w:line="360" w:lineRule="auto"/>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评审标准</w:t>
            </w:r>
          </w:p>
        </w:tc>
        <w:tc>
          <w:tcPr>
            <w:tcW w:w="2516" w:type="pct"/>
            <w:tcBorders>
              <w:bottom w:val="single" w:color="auto" w:sz="4" w:space="0"/>
            </w:tcBorders>
            <w:noWrap w:val="0"/>
            <w:vAlign w:val="center"/>
          </w:tcPr>
          <w:p>
            <w:pPr>
              <w:adjustRightInd w:val="0"/>
              <w:snapToGrid w:val="0"/>
              <w:spacing w:line="360" w:lineRule="auto"/>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1897" w:hRule="atLeast"/>
          <w:jc w:val="center"/>
        </w:trPr>
        <w:tc>
          <w:tcPr>
            <w:tcW w:w="408" w:type="pct"/>
            <w:noWrap w:val="0"/>
            <w:vAlign w:val="center"/>
          </w:tcPr>
          <w:p>
            <w:pPr>
              <w:adjustRightInd w:val="0"/>
              <w:snapToGrid w:val="0"/>
              <w:spacing w:line="360" w:lineRule="auto"/>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p>
        </w:tc>
        <w:tc>
          <w:tcPr>
            <w:tcW w:w="887" w:type="pct"/>
            <w:noWrap w:val="0"/>
            <w:vAlign w:val="center"/>
          </w:tcPr>
          <w:p>
            <w:pPr>
              <w:spacing w:after="50" w:line="360" w:lineRule="auto"/>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营业执照</w:t>
            </w:r>
          </w:p>
        </w:tc>
        <w:tc>
          <w:tcPr>
            <w:tcW w:w="1179" w:type="pct"/>
            <w:tcBorders>
              <w:bottom w:val="single" w:color="auto" w:sz="4" w:space="0"/>
            </w:tcBorders>
            <w:noWrap w:val="0"/>
            <w:vAlign w:val="center"/>
          </w:tcPr>
          <w:p>
            <w:pPr>
              <w:spacing w:after="50" w:line="360" w:lineRule="auto"/>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合法有效</w:t>
            </w:r>
          </w:p>
        </w:tc>
        <w:tc>
          <w:tcPr>
            <w:tcW w:w="2516" w:type="pct"/>
            <w:noWrap w:val="0"/>
            <w:vAlign w:val="center"/>
          </w:tcPr>
          <w:p>
            <w:pPr>
              <w:spacing w:line="360" w:lineRule="auto"/>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提供有效的投标人营业执照（或事业单位法人登记证书）复印件，应</w:t>
            </w:r>
            <w:r>
              <w:rPr>
                <w:rFonts w:hint="default" w:ascii="Times New Roman" w:hAnsi="Times New Roman" w:eastAsia="宋体" w:cs="Times New Roman"/>
                <w:color w:val="auto"/>
                <w:sz w:val="24"/>
                <w:highlight w:val="none"/>
                <w:lang w:eastAsia="zh-CN"/>
              </w:rPr>
              <w:t>完整地体现</w:t>
            </w:r>
            <w:r>
              <w:rPr>
                <w:rFonts w:hint="default" w:ascii="Times New Roman" w:hAnsi="Times New Roman" w:eastAsia="宋体" w:cs="Times New Roman"/>
                <w:color w:val="auto"/>
                <w:sz w:val="24"/>
                <w:highlight w:val="none"/>
              </w:rPr>
              <w:t>出营业执照（或事业单位法人登记证书）的全部内容。联合体投标的联合体各方均须提供。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jc w:val="center"/>
        </w:trPr>
        <w:tc>
          <w:tcPr>
            <w:tcW w:w="408" w:type="pct"/>
            <w:tcBorders>
              <w:bottom w:val="single" w:color="auto" w:sz="4" w:space="0"/>
            </w:tcBorders>
            <w:noWrap w:val="0"/>
            <w:vAlign w:val="center"/>
          </w:tcPr>
          <w:p>
            <w:pPr>
              <w:adjustRightInd w:val="0"/>
              <w:snapToGrid w:val="0"/>
              <w:spacing w:line="360" w:lineRule="auto"/>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p>
        </w:tc>
        <w:tc>
          <w:tcPr>
            <w:tcW w:w="887" w:type="pct"/>
            <w:tcBorders>
              <w:bottom w:val="single" w:color="auto" w:sz="4" w:space="0"/>
            </w:tcBorders>
            <w:noWrap w:val="0"/>
            <w:vAlign w:val="center"/>
          </w:tcPr>
          <w:p>
            <w:pPr>
              <w:spacing w:after="50" w:line="360" w:lineRule="auto"/>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18"/>
                <w:highlight w:val="none"/>
              </w:rPr>
              <w:t>不良信用记录查询</w:t>
            </w:r>
          </w:p>
        </w:tc>
        <w:tc>
          <w:tcPr>
            <w:tcW w:w="1179" w:type="pct"/>
            <w:tcBorders>
              <w:bottom w:val="single" w:color="auto" w:sz="4" w:space="0"/>
            </w:tcBorders>
            <w:noWrap w:val="0"/>
            <w:vAlign w:val="center"/>
          </w:tcPr>
          <w:p>
            <w:pPr>
              <w:spacing w:after="50" w:line="360" w:lineRule="auto"/>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投标人不得存在投标人</w:t>
            </w:r>
            <w:r>
              <w:rPr>
                <w:rFonts w:hint="default" w:ascii="Times New Roman" w:hAnsi="Times New Roman" w:eastAsia="宋体" w:cs="Times New Roman"/>
                <w:color w:val="auto"/>
                <w:sz w:val="24"/>
                <w:highlight w:val="none"/>
              </w:rPr>
              <w:t>须知正文第1</w:t>
            </w:r>
            <w:r>
              <w:rPr>
                <w:rFonts w:hint="default"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rPr>
              <w:t>.2.1条</w:t>
            </w:r>
            <w:r>
              <w:rPr>
                <w:rFonts w:hint="default" w:ascii="Times New Roman" w:hAnsi="Times New Roman" w:eastAsia="宋体" w:cs="Times New Roman"/>
                <w:color w:val="auto"/>
                <w:sz w:val="24"/>
                <w:szCs w:val="28"/>
                <w:highlight w:val="none"/>
              </w:rPr>
              <w:t>中的</w:t>
            </w:r>
            <w:r>
              <w:rPr>
                <w:rFonts w:hint="default" w:ascii="Times New Roman" w:hAnsi="Times New Roman" w:eastAsia="宋体" w:cs="Times New Roman"/>
                <w:color w:val="auto"/>
                <w:sz w:val="24"/>
                <w:szCs w:val="18"/>
                <w:highlight w:val="none"/>
              </w:rPr>
              <w:t>不良信用记录情形</w:t>
            </w:r>
          </w:p>
        </w:tc>
        <w:tc>
          <w:tcPr>
            <w:tcW w:w="2516" w:type="pct"/>
            <w:tcBorders>
              <w:bottom w:val="single" w:color="auto" w:sz="4" w:space="0"/>
            </w:tcBorders>
            <w:noWrap w:val="0"/>
            <w:vAlign w:val="center"/>
          </w:tcPr>
          <w:p>
            <w:pPr>
              <w:adjustRightInd w:val="0"/>
              <w:snapToGrid w:val="0"/>
              <w:spacing w:line="360" w:lineRule="auto"/>
              <w:ind w:right="-1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详见投标人须知正文第1</w:t>
            </w:r>
            <w:r>
              <w:rPr>
                <w:rFonts w:hint="default"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rPr>
              <w:t>.2条要求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jc w:val="center"/>
        </w:trPr>
        <w:tc>
          <w:tcPr>
            <w:tcW w:w="408" w:type="pct"/>
            <w:tcBorders>
              <w:bottom w:val="single" w:color="auto" w:sz="4" w:space="0"/>
            </w:tcBorders>
            <w:noWrap w:val="0"/>
            <w:vAlign w:val="center"/>
          </w:tcPr>
          <w:p>
            <w:pPr>
              <w:adjustRightInd w:val="0"/>
              <w:snapToGrid w:val="0"/>
              <w:spacing w:line="360" w:lineRule="auto"/>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p>
        </w:tc>
        <w:tc>
          <w:tcPr>
            <w:tcW w:w="887" w:type="pct"/>
            <w:tcBorders>
              <w:bottom w:val="single" w:color="auto" w:sz="4" w:space="0"/>
            </w:tcBorders>
            <w:noWrap w:val="0"/>
            <w:vAlign w:val="center"/>
          </w:tcPr>
          <w:p>
            <w:pPr>
              <w:spacing w:after="50" w:line="360" w:lineRule="auto"/>
              <w:ind w:right="-10" w:rightChars="0"/>
              <w:jc w:val="center"/>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color w:val="auto"/>
                <w:sz w:val="24"/>
                <w:szCs w:val="28"/>
                <w:highlight w:val="none"/>
              </w:rPr>
              <w:t>投标人资质</w:t>
            </w:r>
          </w:p>
        </w:tc>
        <w:tc>
          <w:tcPr>
            <w:tcW w:w="1179" w:type="pct"/>
            <w:tcBorders>
              <w:bottom w:val="single" w:color="auto" w:sz="4" w:space="0"/>
            </w:tcBorders>
            <w:noWrap w:val="0"/>
            <w:vAlign w:val="center"/>
          </w:tcPr>
          <w:p>
            <w:pPr>
              <w:spacing w:after="50" w:line="360" w:lineRule="auto"/>
              <w:ind w:right="-10" w:rightChars="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符合投标人资格中的资质要求</w:t>
            </w:r>
          </w:p>
        </w:tc>
        <w:tc>
          <w:tcPr>
            <w:tcW w:w="2516" w:type="pct"/>
            <w:tcBorders>
              <w:bottom w:val="single" w:color="auto" w:sz="4" w:space="0"/>
            </w:tcBorders>
            <w:noWrap w:val="0"/>
            <w:vAlign w:val="center"/>
          </w:tcPr>
          <w:p>
            <w:pPr>
              <w:adjustRightInd w:val="0"/>
              <w:snapToGrid w:val="0"/>
              <w:spacing w:line="360" w:lineRule="auto"/>
              <w:ind w:right="-10" w:rightChars="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提供</w:t>
            </w:r>
            <w:r>
              <w:rPr>
                <w:rFonts w:hint="default" w:ascii="Times New Roman" w:hAnsi="Times New Roman" w:eastAsia="宋体" w:cs="Times New Roman"/>
                <w:color w:val="auto"/>
                <w:sz w:val="24"/>
                <w:szCs w:val="28"/>
                <w:highlight w:val="none"/>
              </w:rPr>
              <w:t>符合投标人资格中要求的</w:t>
            </w:r>
            <w:r>
              <w:rPr>
                <w:rFonts w:hint="default" w:ascii="Times New Roman" w:hAnsi="Times New Roman" w:eastAsia="宋体" w:cs="Times New Roman"/>
                <w:color w:val="auto"/>
                <w:sz w:val="24"/>
                <w:highlight w:val="none"/>
              </w:rPr>
              <w:t>资质证书复印件</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sz w:val="24"/>
          <w:highlight w:val="none"/>
        </w:rPr>
        <w:t>资格审查指标通过标准：</w:t>
      </w:r>
      <w:r>
        <w:rPr>
          <w:rFonts w:hint="default" w:ascii="Times New Roman" w:hAnsi="Times New Roman" w:eastAsia="宋体" w:cs="Times New Roman"/>
          <w:color w:val="auto"/>
          <w:sz w:val="24"/>
          <w:highlight w:val="none"/>
        </w:rPr>
        <w:t>投标人必须通过资格审查表中的全部评审指标。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2.2符合性审查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评标委员会对通过资格审查的投标人的投标文件进行符合性审查，以确定其是否满足招标文件的实质性要求。符合性审查表如下：</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2249"/>
        <w:gridCol w:w="3324"/>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noWrap w:val="0"/>
            <w:vAlign w:val="center"/>
          </w:tcPr>
          <w:p>
            <w:pPr>
              <w:adjustRightInd w:val="0"/>
              <w:snapToGrid w:val="0"/>
              <w:ind w:right="-10"/>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2" w:type="pct"/>
            <w:tcBorders>
              <w:bottom w:val="single" w:color="auto" w:sz="4" w:space="0"/>
            </w:tcBorders>
            <w:noWrap w:val="0"/>
            <w:vAlign w:val="center"/>
          </w:tcPr>
          <w:p>
            <w:pPr>
              <w:adjustRightInd w:val="0"/>
              <w:snapToGrid w:val="0"/>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序号</w:t>
            </w:r>
          </w:p>
        </w:tc>
        <w:tc>
          <w:tcPr>
            <w:tcW w:w="1241" w:type="pct"/>
            <w:tcBorders>
              <w:bottom w:val="single" w:color="auto" w:sz="4" w:space="0"/>
            </w:tcBorders>
            <w:noWrap w:val="0"/>
            <w:vAlign w:val="center"/>
          </w:tcPr>
          <w:p>
            <w:pPr>
              <w:pStyle w:val="24"/>
              <w:pBdr>
                <w:bottom w:val="none" w:color="auto" w:sz="0" w:space="0"/>
              </w:pBdr>
              <w:snapToGrid w:val="0"/>
              <w:spacing w:line="240" w:lineRule="auto"/>
              <w:ind w:right="-10"/>
              <w:textAlignment w:val="auto"/>
              <w:rPr>
                <w:rFonts w:hint="default" w:ascii="Times New Roman" w:hAnsi="Times New Roman" w:eastAsia="宋体" w:cs="Times New Roman"/>
                <w:color w:val="auto"/>
                <w:kern w:val="2"/>
                <w:szCs w:val="24"/>
                <w:highlight w:val="none"/>
              </w:rPr>
            </w:pPr>
            <w:r>
              <w:rPr>
                <w:rFonts w:hint="default" w:ascii="Times New Roman" w:hAnsi="Times New Roman" w:eastAsia="宋体" w:cs="Times New Roman"/>
                <w:color w:val="auto"/>
                <w:kern w:val="2"/>
                <w:szCs w:val="24"/>
                <w:highlight w:val="none"/>
              </w:rPr>
              <w:t>评审指标</w:t>
            </w:r>
          </w:p>
        </w:tc>
        <w:tc>
          <w:tcPr>
            <w:tcW w:w="1834" w:type="pct"/>
            <w:tcBorders>
              <w:bottom w:val="single" w:color="auto" w:sz="4" w:space="0"/>
            </w:tcBorders>
            <w:noWrap w:val="0"/>
            <w:vAlign w:val="center"/>
          </w:tcPr>
          <w:p>
            <w:pPr>
              <w:adjustRightInd w:val="0"/>
              <w:snapToGrid w:val="0"/>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评审标准</w:t>
            </w:r>
          </w:p>
        </w:tc>
        <w:tc>
          <w:tcPr>
            <w:tcW w:w="1470" w:type="pct"/>
            <w:tcBorders>
              <w:bottom w:val="single" w:color="auto" w:sz="4" w:space="0"/>
            </w:tcBorders>
            <w:noWrap w:val="0"/>
            <w:vAlign w:val="center"/>
          </w:tcPr>
          <w:p>
            <w:pPr>
              <w:adjustRightInd w:val="0"/>
              <w:snapToGrid w:val="0"/>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noWrap w:val="0"/>
            <w:vAlign w:val="center"/>
          </w:tcPr>
          <w:p>
            <w:pPr>
              <w:adjustRightInd w:val="0"/>
              <w:snapToGrid w:val="0"/>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p>
        </w:tc>
        <w:tc>
          <w:tcPr>
            <w:tcW w:w="1241" w:type="pct"/>
            <w:noWrap w:val="0"/>
            <w:vAlign w:val="center"/>
          </w:tcPr>
          <w:p>
            <w:pPr>
              <w:spacing w:after="50"/>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highlight w:val="none"/>
              </w:rPr>
              <w:t>开标一览表</w:t>
            </w:r>
          </w:p>
        </w:tc>
        <w:tc>
          <w:tcPr>
            <w:tcW w:w="1834" w:type="pct"/>
            <w:noWrap w:val="0"/>
            <w:vAlign w:val="center"/>
          </w:tcPr>
          <w:p>
            <w:pPr>
              <w:spacing w:after="50"/>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格式、填写要求符合招标文件规定并加盖投标人公章</w:t>
            </w:r>
          </w:p>
        </w:tc>
        <w:tc>
          <w:tcPr>
            <w:tcW w:w="1470" w:type="pct"/>
            <w:noWrap w:val="0"/>
            <w:vAlign w:val="center"/>
          </w:tcPr>
          <w:p>
            <w:pPr>
              <w:adjustRightInd w:val="0"/>
              <w:snapToGrid w:val="0"/>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详见第</w:t>
            </w:r>
            <w:r>
              <w:rPr>
                <w:rFonts w:hint="eastAsia" w:ascii="Times New Roman" w:hAnsi="Times New Roman" w:eastAsia="宋体" w:cs="Times New Roman"/>
                <w:color w:val="auto"/>
                <w:sz w:val="24"/>
                <w:highlight w:val="none"/>
                <w:lang w:val="en-US" w:eastAsia="zh-CN"/>
              </w:rPr>
              <w:t>八</w:t>
            </w:r>
            <w:r>
              <w:rPr>
                <w:rFonts w:hint="default" w:ascii="Times New Roman" w:hAnsi="Times New Roman" w:eastAsia="宋体" w:cs="Times New Roman"/>
                <w:color w:val="auto"/>
                <w:sz w:val="24"/>
                <w:highlight w:val="none"/>
              </w:rPr>
              <w:t>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noWrap w:val="0"/>
            <w:vAlign w:val="center"/>
          </w:tcPr>
          <w:p>
            <w:pPr>
              <w:adjustRightInd w:val="0"/>
              <w:snapToGrid w:val="0"/>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p>
        </w:tc>
        <w:tc>
          <w:tcPr>
            <w:tcW w:w="1241" w:type="pct"/>
            <w:noWrap w:val="0"/>
            <w:vAlign w:val="center"/>
          </w:tcPr>
          <w:p>
            <w:pPr>
              <w:spacing w:after="50"/>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投标函</w:t>
            </w:r>
          </w:p>
        </w:tc>
        <w:tc>
          <w:tcPr>
            <w:tcW w:w="1834" w:type="pct"/>
            <w:noWrap w:val="0"/>
            <w:vAlign w:val="center"/>
          </w:tcPr>
          <w:p>
            <w:pPr>
              <w:spacing w:after="50"/>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格式、填写要求符合招标文件规定并加盖投标人公章</w:t>
            </w:r>
          </w:p>
        </w:tc>
        <w:tc>
          <w:tcPr>
            <w:tcW w:w="1470" w:type="pct"/>
            <w:noWrap w:val="0"/>
            <w:vAlign w:val="center"/>
          </w:tcPr>
          <w:p>
            <w:pPr>
              <w:adjustRightInd w:val="0"/>
              <w:snapToGrid w:val="0"/>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详见第</w:t>
            </w:r>
            <w:r>
              <w:rPr>
                <w:rFonts w:hint="eastAsia" w:ascii="Times New Roman" w:hAnsi="Times New Roman" w:eastAsia="宋体" w:cs="Times New Roman"/>
                <w:color w:val="auto"/>
                <w:sz w:val="24"/>
                <w:highlight w:val="none"/>
                <w:lang w:val="en-US" w:eastAsia="zh-CN"/>
              </w:rPr>
              <w:t>八</w:t>
            </w:r>
            <w:r>
              <w:rPr>
                <w:rFonts w:hint="default" w:ascii="Times New Roman" w:hAnsi="Times New Roman" w:eastAsia="宋体" w:cs="Times New Roman"/>
                <w:color w:val="auto"/>
                <w:sz w:val="24"/>
                <w:highlight w:val="none"/>
              </w:rPr>
              <w:t>章投标文件格式二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noWrap w:val="0"/>
            <w:vAlign w:val="center"/>
          </w:tcPr>
          <w:p>
            <w:pPr>
              <w:adjustRightInd w:val="0"/>
              <w:snapToGrid w:val="0"/>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p>
        </w:tc>
        <w:tc>
          <w:tcPr>
            <w:tcW w:w="1241" w:type="pct"/>
            <w:noWrap w:val="0"/>
            <w:vAlign w:val="center"/>
          </w:tcPr>
          <w:p>
            <w:pPr>
              <w:spacing w:after="50"/>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授权书</w:t>
            </w:r>
          </w:p>
        </w:tc>
        <w:tc>
          <w:tcPr>
            <w:tcW w:w="1834" w:type="pct"/>
            <w:noWrap w:val="0"/>
            <w:vAlign w:val="center"/>
          </w:tcPr>
          <w:p>
            <w:pPr>
              <w:spacing w:after="50"/>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格式、填写要求符合招标文件规定并加盖投标人公章</w:t>
            </w:r>
          </w:p>
        </w:tc>
        <w:tc>
          <w:tcPr>
            <w:tcW w:w="1470" w:type="pct"/>
            <w:noWrap w:val="0"/>
            <w:vAlign w:val="center"/>
          </w:tcPr>
          <w:p>
            <w:pPr>
              <w:adjustRightInd w:val="0"/>
              <w:snapToGrid w:val="0"/>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法定代表人参加投标的无需此件，提供身份证明即可。详见第</w:t>
            </w:r>
            <w:r>
              <w:rPr>
                <w:rFonts w:hint="eastAsia" w:ascii="Times New Roman" w:hAnsi="Times New Roman" w:eastAsia="宋体" w:cs="Times New Roman"/>
                <w:color w:val="auto"/>
                <w:sz w:val="24"/>
                <w:highlight w:val="none"/>
                <w:lang w:val="en-US" w:eastAsia="zh-CN"/>
              </w:rPr>
              <w:t>八</w:t>
            </w:r>
            <w:r>
              <w:rPr>
                <w:rFonts w:hint="default" w:ascii="Times New Roman" w:hAnsi="Times New Roman" w:eastAsia="宋体" w:cs="Times New Roman"/>
                <w:color w:val="auto"/>
                <w:sz w:val="24"/>
                <w:highlight w:val="none"/>
              </w:rPr>
              <w:t>章投标文件格式四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noWrap w:val="0"/>
            <w:vAlign w:val="center"/>
          </w:tcPr>
          <w:p>
            <w:pPr>
              <w:adjustRightInd w:val="0"/>
              <w:snapToGrid w:val="0"/>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w:t>
            </w:r>
          </w:p>
        </w:tc>
        <w:tc>
          <w:tcPr>
            <w:tcW w:w="1241" w:type="pct"/>
            <w:noWrap w:val="0"/>
            <w:vAlign w:val="center"/>
          </w:tcPr>
          <w:p>
            <w:pPr>
              <w:spacing w:after="50"/>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投标报价</w:t>
            </w:r>
          </w:p>
        </w:tc>
        <w:tc>
          <w:tcPr>
            <w:tcW w:w="1834" w:type="pct"/>
            <w:noWrap w:val="0"/>
            <w:vAlign w:val="center"/>
          </w:tcPr>
          <w:p>
            <w:pPr>
              <w:spacing w:after="50"/>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符合</w:t>
            </w:r>
            <w:r>
              <w:rPr>
                <w:rFonts w:hint="default" w:ascii="Times New Roman" w:hAnsi="Times New Roman" w:eastAsia="宋体" w:cs="Times New Roman"/>
                <w:color w:val="auto"/>
                <w:sz w:val="24"/>
                <w:highlight w:val="none"/>
              </w:rPr>
              <w:t>招标文件投标人须知正文第1</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条要求</w:t>
            </w:r>
          </w:p>
        </w:tc>
        <w:tc>
          <w:tcPr>
            <w:tcW w:w="1470" w:type="pct"/>
            <w:noWrap w:val="0"/>
            <w:vAlign w:val="center"/>
          </w:tcPr>
          <w:p>
            <w:pPr>
              <w:adjustRightInd w:val="0"/>
              <w:snapToGrid w:val="0"/>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详见第</w:t>
            </w:r>
            <w:r>
              <w:rPr>
                <w:rFonts w:hint="eastAsia" w:ascii="Times New Roman" w:hAnsi="Times New Roman" w:eastAsia="宋体" w:cs="Times New Roman"/>
                <w:color w:val="auto"/>
                <w:sz w:val="24"/>
                <w:highlight w:val="none"/>
                <w:lang w:val="en-US" w:eastAsia="zh-CN"/>
              </w:rPr>
              <w:t>八</w:t>
            </w:r>
            <w:r>
              <w:rPr>
                <w:rFonts w:hint="default" w:ascii="Times New Roman" w:hAnsi="Times New Roman" w:eastAsia="宋体" w:cs="Times New Roman"/>
                <w:color w:val="auto"/>
                <w:sz w:val="24"/>
                <w:highlight w:val="none"/>
              </w:rPr>
              <w:t>章投标文件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noWrap w:val="0"/>
            <w:vAlign w:val="center"/>
          </w:tcPr>
          <w:p>
            <w:pPr>
              <w:adjustRightInd w:val="0"/>
              <w:snapToGrid w:val="0"/>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w:t>
            </w:r>
          </w:p>
        </w:tc>
        <w:tc>
          <w:tcPr>
            <w:tcW w:w="1241" w:type="pct"/>
            <w:noWrap w:val="0"/>
            <w:vAlign w:val="center"/>
          </w:tcPr>
          <w:p>
            <w:pPr>
              <w:spacing w:after="50"/>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商务响应情况</w:t>
            </w:r>
          </w:p>
        </w:tc>
        <w:tc>
          <w:tcPr>
            <w:tcW w:w="1834" w:type="pct"/>
            <w:noWrap w:val="0"/>
            <w:vAlign w:val="center"/>
          </w:tcPr>
          <w:p>
            <w:pPr>
              <w:spacing w:after="50"/>
              <w:ind w:right="-10"/>
              <w:jc w:val="center"/>
              <w:rPr>
                <w:rFonts w:hint="default" w:ascii="Times New Roman" w:hAnsi="Times New Roman" w:eastAsia="宋体" w:cs="Times New Roman"/>
                <w:color w:val="auto"/>
                <w:sz w:val="24"/>
                <w:szCs w:val="28"/>
                <w:highlight w:val="none"/>
                <w:lang w:val="en-US" w:eastAsia="zh-CN"/>
              </w:rPr>
            </w:pPr>
            <w:r>
              <w:rPr>
                <w:rFonts w:hint="default" w:ascii="Times New Roman" w:hAnsi="Times New Roman" w:eastAsia="宋体" w:cs="Times New Roman"/>
                <w:color w:val="auto"/>
                <w:sz w:val="24"/>
                <w:szCs w:val="28"/>
                <w:highlight w:val="none"/>
                <w:lang w:val="en-US" w:eastAsia="zh-CN"/>
              </w:rPr>
              <w:t>付款响应，服务期限响应</w:t>
            </w:r>
          </w:p>
        </w:tc>
        <w:tc>
          <w:tcPr>
            <w:tcW w:w="1470" w:type="pct"/>
            <w:noWrap w:val="0"/>
            <w:vAlign w:val="center"/>
          </w:tcPr>
          <w:p>
            <w:pPr>
              <w:adjustRightInd w:val="0"/>
              <w:snapToGrid w:val="0"/>
              <w:ind w:right="-1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详见第</w:t>
            </w:r>
            <w:r>
              <w:rPr>
                <w:rFonts w:hint="eastAsia" w:ascii="Times New Roman" w:hAnsi="Times New Roman" w:eastAsia="宋体" w:cs="Times New Roman"/>
                <w:color w:val="auto"/>
                <w:sz w:val="24"/>
                <w:highlight w:val="none"/>
                <w:lang w:val="en-US" w:eastAsia="zh-CN"/>
              </w:rPr>
              <w:t>八</w:t>
            </w:r>
            <w:r>
              <w:rPr>
                <w:rFonts w:hint="default" w:ascii="Times New Roman" w:hAnsi="Times New Roman" w:eastAsia="宋体" w:cs="Times New Roman"/>
                <w:color w:val="auto"/>
                <w:sz w:val="24"/>
                <w:highlight w:val="none"/>
              </w:rPr>
              <w:t>章投标文件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noWrap w:val="0"/>
            <w:vAlign w:val="center"/>
          </w:tcPr>
          <w:p>
            <w:pPr>
              <w:adjustRightInd w:val="0"/>
              <w:snapToGrid w:val="0"/>
              <w:ind w:right="-10"/>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6</w:t>
            </w:r>
          </w:p>
        </w:tc>
        <w:tc>
          <w:tcPr>
            <w:tcW w:w="1241" w:type="pct"/>
            <w:noWrap w:val="0"/>
            <w:vAlign w:val="center"/>
          </w:tcPr>
          <w:p>
            <w:pPr>
              <w:spacing w:after="50"/>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投标文件规范性</w:t>
            </w:r>
          </w:p>
        </w:tc>
        <w:tc>
          <w:tcPr>
            <w:tcW w:w="1834" w:type="pct"/>
            <w:noWrap w:val="0"/>
            <w:vAlign w:val="center"/>
          </w:tcPr>
          <w:p>
            <w:pPr>
              <w:spacing w:after="50"/>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投标文件数量、签署、盖章符合招标文件要求；无严重的编排混乱、内容不全或字迹模糊辨认不清情况。</w:t>
            </w:r>
          </w:p>
        </w:tc>
        <w:tc>
          <w:tcPr>
            <w:tcW w:w="1470" w:type="pct"/>
            <w:noWrap w:val="0"/>
            <w:vAlign w:val="center"/>
          </w:tcPr>
          <w:p>
            <w:pPr>
              <w:adjustRightInd w:val="0"/>
              <w:snapToGrid w:val="0"/>
              <w:ind w:right="-10"/>
              <w:jc w:val="center"/>
              <w:rPr>
                <w:rFonts w:hint="default"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noWrap w:val="0"/>
            <w:vAlign w:val="center"/>
          </w:tcPr>
          <w:p>
            <w:pPr>
              <w:adjustRightInd w:val="0"/>
              <w:snapToGrid w:val="0"/>
              <w:ind w:right="-10"/>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7</w:t>
            </w:r>
          </w:p>
        </w:tc>
        <w:tc>
          <w:tcPr>
            <w:tcW w:w="1241" w:type="pct"/>
            <w:noWrap w:val="0"/>
            <w:vAlign w:val="center"/>
          </w:tcPr>
          <w:p>
            <w:pPr>
              <w:spacing w:after="50"/>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其他实质性要求</w:t>
            </w:r>
          </w:p>
        </w:tc>
        <w:tc>
          <w:tcPr>
            <w:tcW w:w="1834" w:type="pct"/>
            <w:noWrap w:val="0"/>
            <w:vAlign w:val="center"/>
          </w:tcPr>
          <w:p>
            <w:pPr>
              <w:spacing w:after="50"/>
              <w:ind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符合招标文件列明的其他实质性要求。</w:t>
            </w:r>
          </w:p>
        </w:tc>
        <w:tc>
          <w:tcPr>
            <w:tcW w:w="1470" w:type="pct"/>
            <w:noWrap w:val="0"/>
            <w:vAlign w:val="center"/>
          </w:tcPr>
          <w:p>
            <w:pPr>
              <w:adjustRightInd w:val="0"/>
              <w:snapToGrid w:val="0"/>
              <w:ind w:right="-10"/>
              <w:jc w:val="center"/>
              <w:rPr>
                <w:rFonts w:hint="default" w:ascii="Times New Roman" w:hAnsi="Times New Roman" w:eastAsia="宋体" w:cs="Times New Roman"/>
                <w:b/>
                <w:color w:val="auto"/>
                <w:sz w:val="24"/>
                <w:highlight w:val="none"/>
              </w:rPr>
            </w:pPr>
          </w:p>
        </w:tc>
      </w:tr>
    </w:tbl>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sz w:val="24"/>
          <w:highlight w:val="none"/>
        </w:rPr>
        <w:t>符合性审查指标通过标准：</w:t>
      </w:r>
      <w:r>
        <w:rPr>
          <w:rFonts w:hint="default" w:ascii="Times New Roman" w:hAnsi="Times New Roman" w:eastAsia="宋体" w:cs="Times New Roman"/>
          <w:color w:val="auto"/>
          <w:sz w:val="24"/>
          <w:highlight w:val="none"/>
        </w:rPr>
        <w:t>投标人必须通过符合性审查表中的全部评审指标。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2.3详细评审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2.3.1评标小组将对所有通过初审的响应文件进行详细评审，具体如下：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根据评分的细则，评委应对进入详细评审的所有响应文件进行评分，并分别填写打分表。评标小组按本章第2.3.2款规定的技术部分详细评审指标对响应文件的技术部分进行打分，并计算出详细评审得分。将投标人每个分值项得分进行汇总，得到该投标人的技术部分得分。</w:t>
      </w:r>
    </w:p>
    <w:p>
      <w:pPr>
        <w:pStyle w:val="15"/>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sz w:val="24"/>
          <w:highlight w:val="none"/>
          <w:lang w:val="en-US" w:eastAsia="zh-CN"/>
        </w:rPr>
        <w:t>2.3.2技术部分详细评审指标如下：</w:t>
      </w:r>
    </w:p>
    <w:tbl>
      <w:tblPr>
        <w:tblStyle w:val="16"/>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749"/>
        <w:gridCol w:w="5115"/>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0" w:type="dxa"/>
            <w:noWrap/>
            <w:vAlign w:val="center"/>
          </w:tcPr>
          <w:p>
            <w:pPr>
              <w:spacing w:line="240" w:lineRule="auto"/>
              <w:jc w:val="center"/>
              <w:rPr>
                <w:rFonts w:hint="default" w:ascii="Times New Roman" w:hAnsi="Times New Roman" w:eastAsia="宋体" w:cs="Times New Roman"/>
                <w:b/>
                <w:bCs/>
                <w:color w:val="auto"/>
                <w:sz w:val="24"/>
                <w:highlight w:val="none"/>
                <w:lang w:eastAsia="zh-CN"/>
              </w:rPr>
            </w:pPr>
            <w:r>
              <w:rPr>
                <w:rFonts w:hint="default" w:ascii="Times New Roman" w:hAnsi="Times New Roman" w:eastAsia="宋体" w:cs="Times New Roman"/>
                <w:b/>
                <w:bCs/>
                <w:color w:val="auto"/>
                <w:sz w:val="24"/>
                <w:highlight w:val="none"/>
                <w:lang w:val="en-US" w:eastAsia="zh-CN"/>
              </w:rPr>
              <w:t>序号</w:t>
            </w:r>
          </w:p>
        </w:tc>
        <w:tc>
          <w:tcPr>
            <w:tcW w:w="1749" w:type="dxa"/>
            <w:noWrap/>
            <w:vAlign w:val="center"/>
          </w:tcPr>
          <w:p>
            <w:pPr>
              <w:spacing w:line="240" w:lineRule="auto"/>
              <w:jc w:val="center"/>
              <w:rPr>
                <w:rFonts w:hint="default" w:ascii="Times New Roman" w:hAnsi="Times New Roman" w:eastAsia="宋体" w:cs="Times New Roman"/>
                <w:b/>
                <w:bCs/>
                <w:color w:val="auto"/>
                <w:sz w:val="24"/>
                <w:highlight w:val="none"/>
                <w:lang w:eastAsia="zh-CN"/>
              </w:rPr>
            </w:pPr>
            <w:r>
              <w:rPr>
                <w:rFonts w:hint="default" w:ascii="Times New Roman" w:hAnsi="Times New Roman" w:eastAsia="宋体" w:cs="Times New Roman"/>
                <w:b/>
                <w:bCs/>
                <w:color w:val="auto"/>
                <w:sz w:val="24"/>
                <w:highlight w:val="none"/>
                <w:lang w:val="en-US" w:eastAsia="zh-CN"/>
              </w:rPr>
              <w:t>指标</w:t>
            </w:r>
          </w:p>
        </w:tc>
        <w:tc>
          <w:tcPr>
            <w:tcW w:w="5115" w:type="dxa"/>
            <w:noWrap/>
            <w:vAlign w:val="center"/>
          </w:tcPr>
          <w:p>
            <w:pPr>
              <w:spacing w:line="240" w:lineRule="auto"/>
              <w:ind w:firstLine="1699" w:firstLineChars="705"/>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指标描述</w:t>
            </w:r>
          </w:p>
        </w:tc>
        <w:tc>
          <w:tcPr>
            <w:tcW w:w="1407" w:type="dxa"/>
            <w:noWrap/>
            <w:vAlign w:val="center"/>
          </w:tcPr>
          <w:p>
            <w:pPr>
              <w:spacing w:line="240" w:lineRule="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4" w:hRule="atLeast"/>
          <w:jc w:val="center"/>
        </w:trPr>
        <w:tc>
          <w:tcPr>
            <w:tcW w:w="870" w:type="dxa"/>
            <w:noWrap/>
            <w:vAlign w:val="center"/>
          </w:tcPr>
          <w:p>
            <w:pPr>
              <w:spacing w:line="240" w:lineRule="auto"/>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1</w:t>
            </w:r>
          </w:p>
        </w:tc>
        <w:tc>
          <w:tcPr>
            <w:tcW w:w="1749" w:type="dxa"/>
            <w:noWrap/>
            <w:vAlign w:val="center"/>
          </w:tcPr>
          <w:p>
            <w:pPr>
              <w:spacing w:line="240" w:lineRule="auto"/>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kern w:val="2"/>
                <w:sz w:val="24"/>
                <w:szCs w:val="24"/>
                <w:highlight w:val="none"/>
                <w:lang w:val="en-US" w:eastAsia="zh-CN" w:bidi="ar-SA"/>
              </w:rPr>
              <w:t>投标人业绩</w:t>
            </w:r>
          </w:p>
        </w:tc>
        <w:tc>
          <w:tcPr>
            <w:tcW w:w="5115"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2020年1月1日（以合同签订时间为准）以来，投标人</w:t>
            </w:r>
            <w:r>
              <w:rPr>
                <w:rFonts w:hint="eastAsia" w:ascii="Times New Roman" w:hAnsi="Times New Roman" w:eastAsia="宋体" w:cs="Times New Roman"/>
                <w:color w:val="auto"/>
                <w:sz w:val="24"/>
                <w:highlight w:val="none"/>
                <w:lang w:val="en-US" w:eastAsia="zh-CN"/>
              </w:rPr>
              <w:t>每提供</w:t>
            </w:r>
            <w:r>
              <w:rPr>
                <w:rFonts w:hint="default" w:ascii="Times New Roman" w:hAnsi="Times New Roman" w:eastAsia="宋体" w:cs="Times New Roman"/>
                <w:color w:val="auto"/>
                <w:sz w:val="24"/>
                <w:highlight w:val="none"/>
                <w:lang w:val="zh-CN"/>
              </w:rPr>
              <w:t>一个单个合同总金额不少于</w:t>
            </w:r>
            <w:r>
              <w:rPr>
                <w:rFonts w:hint="eastAsia"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lang w:val="zh-CN"/>
              </w:rPr>
              <w:t>0万元的类似项目业绩</w:t>
            </w:r>
            <w:r>
              <w:rPr>
                <w:rFonts w:hint="eastAsia" w:ascii="Times New Roman" w:hAnsi="Times New Roman" w:eastAsia="宋体" w:cs="Times New Roman"/>
                <w:color w:val="auto"/>
                <w:sz w:val="24"/>
                <w:highlight w:val="none"/>
                <w:lang w:val="zh-CN"/>
              </w:rPr>
              <w:t>，</w:t>
            </w:r>
            <w:r>
              <w:rPr>
                <w:rFonts w:hint="default" w:ascii="Times New Roman" w:hAnsi="Times New Roman" w:eastAsia="宋体" w:cs="Times New Roman"/>
                <w:color w:val="auto"/>
                <w:kern w:val="2"/>
                <w:sz w:val="24"/>
                <w:highlight w:val="none"/>
                <w:lang w:val="zh-CN" w:eastAsia="zh-CN" w:bidi="ar-SA"/>
              </w:rPr>
              <w:t>得</w:t>
            </w:r>
            <w:r>
              <w:rPr>
                <w:rFonts w:hint="eastAsia" w:ascii="Times New Roman" w:hAnsi="Times New Roman" w:eastAsia="宋体" w:cs="Times New Roman"/>
                <w:color w:val="auto"/>
                <w:kern w:val="2"/>
                <w:sz w:val="24"/>
                <w:highlight w:val="none"/>
                <w:lang w:val="en-US" w:eastAsia="zh-CN" w:bidi="ar-SA"/>
              </w:rPr>
              <w:t>5</w:t>
            </w:r>
            <w:r>
              <w:rPr>
                <w:rFonts w:hint="default" w:ascii="Times New Roman" w:hAnsi="Times New Roman" w:eastAsia="宋体" w:cs="Times New Roman"/>
                <w:color w:val="auto"/>
                <w:kern w:val="2"/>
                <w:sz w:val="24"/>
                <w:highlight w:val="none"/>
                <w:lang w:val="zh-CN" w:eastAsia="zh-CN" w:bidi="ar-SA"/>
              </w:rPr>
              <w:t>分。此项满分</w:t>
            </w:r>
            <w:r>
              <w:rPr>
                <w:rFonts w:hint="eastAsia" w:ascii="Times New Roman" w:hAnsi="Times New Roman" w:eastAsia="宋体" w:cs="Times New Roman"/>
                <w:color w:val="auto"/>
                <w:kern w:val="2"/>
                <w:sz w:val="24"/>
                <w:highlight w:val="none"/>
                <w:lang w:val="en-US" w:eastAsia="zh-CN" w:bidi="ar-SA"/>
              </w:rPr>
              <w:t>15</w:t>
            </w:r>
            <w:r>
              <w:rPr>
                <w:rFonts w:hint="default" w:ascii="Times New Roman" w:hAnsi="Times New Roman" w:eastAsia="宋体" w:cs="Times New Roman"/>
                <w:color w:val="auto"/>
                <w:kern w:val="2"/>
                <w:sz w:val="24"/>
                <w:highlight w:val="none"/>
                <w:lang w:val="zh-CN" w:eastAsia="zh-CN" w:bidi="ar-SA"/>
              </w:rPr>
              <w:t>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备注：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（1）类似项目施工业绩是指住宅、公共建筑（是指办公、商业、旅游、科教文卫、通信、交通运输类房屋建筑工程（不含工业厂房和仓储））等装修</w:t>
            </w:r>
            <w:r>
              <w:rPr>
                <w:rFonts w:hint="eastAsia" w:ascii="Times New Roman" w:hAnsi="Times New Roman" w:eastAsia="宋体" w:cs="Times New Roman"/>
                <w:color w:val="auto"/>
                <w:sz w:val="24"/>
                <w:highlight w:val="none"/>
                <w:lang w:val="en-US" w:eastAsia="zh-CN"/>
              </w:rPr>
              <w:t>改造</w:t>
            </w:r>
            <w:r>
              <w:rPr>
                <w:rFonts w:hint="default" w:ascii="Times New Roman" w:hAnsi="Times New Roman" w:eastAsia="宋体" w:cs="Times New Roman"/>
                <w:color w:val="auto"/>
                <w:sz w:val="24"/>
                <w:highlight w:val="none"/>
                <w:lang w:val="zh-CN"/>
              </w:rPr>
              <w:t>工程施工业绩。</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（2）须提供业绩合同的复印件，同时，业绩合同中须体现项目属性、服务内容，否则须提供业绩合同甲方盖章的证明材料，否则，不予认可。</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kern w:val="2"/>
                <w:sz w:val="24"/>
                <w:highlight w:val="none"/>
                <w:lang w:val="en-US" w:eastAsia="zh-CN" w:bidi="ar-SA"/>
              </w:rPr>
            </w:pPr>
          </w:p>
        </w:tc>
        <w:tc>
          <w:tcPr>
            <w:tcW w:w="1407" w:type="dxa"/>
            <w:noWrap/>
            <w:vAlign w:val="center"/>
          </w:tcPr>
          <w:p>
            <w:pPr>
              <w:spacing w:line="240" w:lineRule="auto"/>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0-</w:t>
            </w:r>
            <w:r>
              <w:rPr>
                <w:rFonts w:hint="eastAsia" w:ascii="Times New Roman" w:hAnsi="Times New Roman" w:eastAsia="宋体" w:cs="Times New Roman"/>
                <w:color w:val="auto"/>
                <w:sz w:val="24"/>
                <w:highlight w:val="none"/>
                <w:lang w:val="en-US" w:eastAsia="zh-CN"/>
              </w:rPr>
              <w:t>15</w:t>
            </w:r>
            <w:r>
              <w:rPr>
                <w:rFonts w:hint="default" w:ascii="Times New Roman" w:hAnsi="Times New Roman" w:eastAsia="宋体" w:cs="Times New Roman"/>
                <w:color w:val="auto"/>
                <w:sz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4" w:hRule="atLeast"/>
          <w:jc w:val="center"/>
        </w:trPr>
        <w:tc>
          <w:tcPr>
            <w:tcW w:w="870" w:type="dxa"/>
            <w:noWrap/>
            <w:vAlign w:val="center"/>
          </w:tcPr>
          <w:p>
            <w:pPr>
              <w:spacing w:line="240" w:lineRule="auto"/>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2</w:t>
            </w:r>
          </w:p>
        </w:tc>
        <w:tc>
          <w:tcPr>
            <w:tcW w:w="1749" w:type="dxa"/>
            <w:noWrap/>
            <w:vAlign w:val="center"/>
          </w:tcPr>
          <w:p>
            <w:pPr>
              <w:spacing w:line="240" w:lineRule="auto"/>
              <w:jc w:val="center"/>
              <w:rPr>
                <w:rFonts w:hint="default" w:ascii="Times New Roman" w:hAnsi="Times New Roman" w:eastAsia="宋体" w:cs="Times New Roman"/>
                <w:color w:val="auto"/>
                <w:kern w:val="2"/>
                <w:sz w:val="24"/>
                <w:szCs w:val="24"/>
                <w:highlight w:val="none"/>
                <w:lang w:val="en-US" w:eastAsia="zh-CN" w:bidi="ar-SA"/>
              </w:rPr>
            </w:pPr>
            <w:r>
              <w:rPr>
                <w:rFonts w:hint="eastAsia" w:ascii="宋体" w:hAnsi="宋体" w:eastAsia="宋体" w:cs="宋体"/>
                <w:spacing w:val="-8"/>
                <w:sz w:val="24"/>
                <w:szCs w:val="24"/>
                <w:highlight w:val="none"/>
              </w:rPr>
              <w:t>项目负责人</w:t>
            </w:r>
          </w:p>
        </w:tc>
        <w:tc>
          <w:tcPr>
            <w:tcW w:w="5115" w:type="dxa"/>
            <w:noWrap/>
            <w:vAlign w:val="center"/>
          </w:tcPr>
          <w:p>
            <w:pPr>
              <w:spacing w:line="247" w:lineRule="auto"/>
              <w:ind w:left="110" w:right="205"/>
              <w:jc w:val="left"/>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拟派项目负责人具有</w:t>
            </w:r>
            <w:r>
              <w:rPr>
                <w:rFonts w:hint="eastAsia" w:ascii="宋体" w:hAnsi="宋体" w:eastAsia="宋体" w:cs="宋体"/>
                <w:spacing w:val="10"/>
                <w:sz w:val="24"/>
                <w:szCs w:val="24"/>
                <w:highlight w:val="none"/>
                <w:lang w:val="en-US" w:eastAsia="zh-CN"/>
              </w:rPr>
              <w:t>二级建造师或中级以</w:t>
            </w:r>
            <w:r>
              <w:rPr>
                <w:rFonts w:hint="eastAsia" w:ascii="宋体" w:hAnsi="宋体" w:eastAsia="宋体" w:cs="宋体"/>
                <w:spacing w:val="10"/>
                <w:sz w:val="24"/>
                <w:szCs w:val="24"/>
                <w:highlight w:val="none"/>
              </w:rPr>
              <w:t>上职称的得</w:t>
            </w:r>
            <w:r>
              <w:rPr>
                <w:rFonts w:hint="eastAsia" w:ascii="宋体" w:hAnsi="宋体" w:eastAsia="宋体" w:cs="宋体"/>
                <w:spacing w:val="10"/>
                <w:sz w:val="24"/>
                <w:szCs w:val="24"/>
                <w:highlight w:val="none"/>
                <w:lang w:val="en-US" w:eastAsia="zh-CN"/>
              </w:rPr>
              <w:t>10</w:t>
            </w:r>
            <w:r>
              <w:rPr>
                <w:rFonts w:hint="eastAsia" w:ascii="宋体" w:hAnsi="宋体" w:eastAsia="宋体" w:cs="宋体"/>
                <w:spacing w:val="10"/>
                <w:sz w:val="24"/>
                <w:szCs w:val="24"/>
                <w:highlight w:val="none"/>
              </w:rPr>
              <w:t>分，满分</w:t>
            </w:r>
            <w:r>
              <w:rPr>
                <w:rFonts w:hint="eastAsia" w:ascii="宋体" w:hAnsi="宋体" w:eastAsia="宋体" w:cs="宋体"/>
                <w:spacing w:val="10"/>
                <w:sz w:val="24"/>
                <w:szCs w:val="24"/>
                <w:highlight w:val="none"/>
                <w:lang w:val="en-US" w:eastAsia="zh-CN"/>
              </w:rPr>
              <w:t>10</w:t>
            </w:r>
            <w:r>
              <w:rPr>
                <w:rFonts w:hint="eastAsia" w:ascii="宋体" w:hAnsi="宋体" w:eastAsia="宋体" w:cs="宋体"/>
                <w:spacing w:val="10"/>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kern w:val="2"/>
                <w:sz w:val="24"/>
                <w:highlight w:val="none"/>
                <w:lang w:val="en-US" w:eastAsia="zh-CN" w:bidi="ar-SA"/>
              </w:rPr>
            </w:pPr>
          </w:p>
        </w:tc>
        <w:tc>
          <w:tcPr>
            <w:tcW w:w="1407" w:type="dxa"/>
            <w:noWrap/>
            <w:vAlign w:val="center"/>
          </w:tcPr>
          <w:p>
            <w:pPr>
              <w:spacing w:line="240" w:lineRule="auto"/>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0-</w:t>
            </w:r>
            <w:r>
              <w:rPr>
                <w:rFonts w:hint="eastAsia" w:ascii="Times New Roman" w:hAnsi="Times New Roman" w:eastAsia="宋体" w:cs="Times New Roman"/>
                <w:color w:val="auto"/>
                <w:sz w:val="24"/>
                <w:highlight w:val="none"/>
                <w:lang w:val="en-US" w:eastAsia="zh-CN"/>
              </w:rPr>
              <w:t>10</w:t>
            </w:r>
            <w:r>
              <w:rPr>
                <w:rFonts w:hint="default" w:ascii="Times New Roman" w:hAnsi="Times New Roman" w:eastAsia="宋体" w:cs="Times New Roman"/>
                <w:color w:val="auto"/>
                <w:sz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jc w:val="center"/>
        </w:trPr>
        <w:tc>
          <w:tcPr>
            <w:tcW w:w="870" w:type="dxa"/>
            <w:noWrap/>
            <w:vAlign w:val="center"/>
          </w:tcPr>
          <w:p>
            <w:pPr>
              <w:spacing w:line="360" w:lineRule="auto"/>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3</w:t>
            </w:r>
          </w:p>
        </w:tc>
        <w:tc>
          <w:tcPr>
            <w:tcW w:w="1749"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主要施工方案与技术措施</w:t>
            </w:r>
          </w:p>
        </w:tc>
        <w:tc>
          <w:tcPr>
            <w:tcW w:w="5115"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依据投标人提供的各分部分项工程的主要施工方案与技术措施进行评审。</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优良的，得</w:t>
            </w:r>
            <w:r>
              <w:rPr>
                <w:rFonts w:hint="eastAsia" w:ascii="Times New Roman" w:hAnsi="Times New Roman" w:eastAsia="宋体" w:cs="Times New Roman"/>
                <w:color w:val="auto"/>
                <w:sz w:val="24"/>
                <w:highlight w:val="none"/>
                <w:lang w:val="en-US" w:eastAsia="zh-CN"/>
              </w:rPr>
              <w:t>10</w:t>
            </w:r>
            <w:r>
              <w:rPr>
                <w:rFonts w:hint="default" w:ascii="Times New Roman" w:hAnsi="Times New Roman" w:eastAsia="宋体" w:cs="Times New Roman"/>
                <w:color w:val="auto"/>
                <w:sz w:val="24"/>
                <w:highlight w:val="none"/>
                <w:lang w:val="en-US" w:eastAsia="zh-CN"/>
              </w:rPr>
              <w:t>≤F≤1</w:t>
            </w:r>
            <w:r>
              <w:rPr>
                <w:rFonts w:hint="eastAsia"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lang w:val="en-US" w:eastAsia="zh-CN"/>
              </w:rPr>
              <w:t>分；一般的，得4≤F＜</w:t>
            </w:r>
            <w:r>
              <w:rPr>
                <w:rFonts w:hint="eastAsia" w:ascii="Times New Roman" w:hAnsi="Times New Roman" w:eastAsia="宋体" w:cs="Times New Roman"/>
                <w:color w:val="auto"/>
                <w:sz w:val="24"/>
                <w:highlight w:val="none"/>
                <w:lang w:val="en-US" w:eastAsia="zh-CN"/>
              </w:rPr>
              <w:t>10</w:t>
            </w:r>
            <w:r>
              <w:rPr>
                <w:rFonts w:hint="default" w:ascii="Times New Roman" w:hAnsi="Times New Roman" w:eastAsia="宋体" w:cs="Times New Roman"/>
                <w:color w:val="auto"/>
                <w:sz w:val="24"/>
                <w:highlight w:val="none"/>
                <w:lang w:val="en-US" w:eastAsia="zh-CN"/>
              </w:rPr>
              <w:t>分；差的，得0＜F＜4分，未提供的不得分。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注：“F”为投标人得分。</w:t>
            </w:r>
          </w:p>
        </w:tc>
        <w:tc>
          <w:tcPr>
            <w:tcW w:w="1407"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0-</w:t>
            </w:r>
            <w:r>
              <w:rPr>
                <w:rFonts w:hint="eastAsia" w:ascii="Times New Roman" w:hAnsi="Times New Roman" w:eastAsia="宋体" w:cs="Times New Roman"/>
                <w:color w:val="auto"/>
                <w:sz w:val="24"/>
                <w:highlight w:val="none"/>
                <w:lang w:val="en-US" w:eastAsia="zh-CN"/>
              </w:rPr>
              <w:t>15</w:t>
            </w:r>
            <w:r>
              <w:rPr>
                <w:rFonts w:hint="default" w:ascii="Times New Roman" w:hAnsi="Times New Roman" w:eastAsia="宋体" w:cs="Times New Roman"/>
                <w:color w:val="auto"/>
                <w:sz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870" w:type="dxa"/>
            <w:noWrap/>
            <w:vAlign w:val="center"/>
          </w:tcPr>
          <w:p>
            <w:pPr>
              <w:spacing w:line="360" w:lineRule="auto"/>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4</w:t>
            </w:r>
          </w:p>
        </w:tc>
        <w:tc>
          <w:tcPr>
            <w:tcW w:w="1749"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确保工程质量的管理体系与措施</w:t>
            </w:r>
          </w:p>
        </w:tc>
        <w:tc>
          <w:tcPr>
            <w:tcW w:w="5115"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结合本工程特点，依据投标人提出的确保工程质量的管理体系与措施进行评审。</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优良的，得</w:t>
            </w:r>
            <w:r>
              <w:rPr>
                <w:rFonts w:hint="eastAsia" w:ascii="Times New Roman" w:hAnsi="Times New Roman" w:eastAsia="宋体" w:cs="Times New Roman"/>
                <w:color w:val="auto"/>
                <w:sz w:val="24"/>
                <w:highlight w:val="none"/>
                <w:lang w:val="en-US" w:eastAsia="zh-CN"/>
              </w:rPr>
              <w:t>10</w:t>
            </w:r>
            <w:r>
              <w:rPr>
                <w:rFonts w:hint="default" w:ascii="Times New Roman" w:hAnsi="Times New Roman" w:eastAsia="宋体" w:cs="Times New Roman"/>
                <w:color w:val="auto"/>
                <w:sz w:val="24"/>
                <w:highlight w:val="none"/>
                <w:lang w:val="en-US" w:eastAsia="zh-CN"/>
              </w:rPr>
              <w:t>≤F≤1</w:t>
            </w:r>
            <w:r>
              <w:rPr>
                <w:rFonts w:hint="eastAsia"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lang w:val="en-US" w:eastAsia="zh-CN"/>
              </w:rPr>
              <w:t>分；一般的，得4≤F＜</w:t>
            </w:r>
            <w:r>
              <w:rPr>
                <w:rFonts w:hint="eastAsia" w:ascii="Times New Roman" w:hAnsi="Times New Roman" w:eastAsia="宋体" w:cs="Times New Roman"/>
                <w:color w:val="auto"/>
                <w:sz w:val="24"/>
                <w:highlight w:val="none"/>
                <w:lang w:val="en-US" w:eastAsia="zh-CN"/>
              </w:rPr>
              <w:t>10</w:t>
            </w:r>
            <w:r>
              <w:rPr>
                <w:rFonts w:hint="default" w:ascii="Times New Roman" w:hAnsi="Times New Roman" w:eastAsia="宋体" w:cs="Times New Roman"/>
                <w:color w:val="auto"/>
                <w:sz w:val="24"/>
                <w:highlight w:val="none"/>
                <w:lang w:val="en-US" w:eastAsia="zh-CN"/>
              </w:rPr>
              <w:t>分；差的，得0＜F＜4分，未提供的不得分。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注：“F”为投标人得分。</w:t>
            </w:r>
          </w:p>
        </w:tc>
        <w:tc>
          <w:tcPr>
            <w:tcW w:w="1407" w:type="dxa"/>
            <w:noWrap/>
            <w:vAlign w:val="center"/>
          </w:tcPr>
          <w:p>
            <w:pPr>
              <w:spacing w:line="240" w:lineRule="auto"/>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w:t>
            </w:r>
            <w:r>
              <w:rPr>
                <w:rFonts w:hint="eastAsia" w:ascii="Times New Roman" w:hAnsi="Times New Roman" w:eastAsia="宋体" w:cs="Times New Roman"/>
                <w:color w:val="auto"/>
                <w:sz w:val="24"/>
                <w:szCs w:val="24"/>
                <w:highlight w:val="none"/>
                <w:lang w:val="en-US" w:eastAsia="zh-CN"/>
              </w:rPr>
              <w:t>15</w:t>
            </w:r>
            <w:r>
              <w:rPr>
                <w:rFonts w:hint="default" w:ascii="Times New Roman" w:hAnsi="Times New Roman" w:eastAsia="宋体" w:cs="Times New Roman"/>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870" w:type="dxa"/>
            <w:noWrap/>
            <w:vAlign w:val="center"/>
          </w:tcPr>
          <w:p>
            <w:pPr>
              <w:spacing w:line="360" w:lineRule="auto"/>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5</w:t>
            </w:r>
          </w:p>
        </w:tc>
        <w:tc>
          <w:tcPr>
            <w:tcW w:w="1749"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确保安全生产</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文明施工的管理体系与</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措施</w:t>
            </w:r>
          </w:p>
        </w:tc>
        <w:tc>
          <w:tcPr>
            <w:tcW w:w="5115"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结合本工程特点，依据投标人提出的确保安全生产的管理体系与措施进行评审。</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优良的，得6≤F≤10分；一般的，得4≤F＜6分；差的，得0＜F＜4分，未提供的不得分。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注：“F”为投标人得分。</w:t>
            </w:r>
          </w:p>
        </w:tc>
        <w:tc>
          <w:tcPr>
            <w:tcW w:w="1407" w:type="dxa"/>
            <w:noWrap/>
            <w:vAlign w:val="center"/>
          </w:tcPr>
          <w:p>
            <w:pPr>
              <w:spacing w:line="240" w:lineRule="auto"/>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w:t>
            </w:r>
            <w:r>
              <w:rPr>
                <w:rFonts w:hint="eastAsia"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870" w:type="dxa"/>
            <w:noWrap/>
            <w:vAlign w:val="center"/>
          </w:tcPr>
          <w:p>
            <w:pPr>
              <w:spacing w:line="360" w:lineRule="auto"/>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6</w:t>
            </w:r>
          </w:p>
        </w:tc>
        <w:tc>
          <w:tcPr>
            <w:tcW w:w="1749"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现有成品保护保管及恢复措施</w:t>
            </w:r>
          </w:p>
        </w:tc>
        <w:tc>
          <w:tcPr>
            <w:tcW w:w="5115"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结合现场实际情况，依据投标人提供完善的成品保护保管及存在的拆装、恢复方案等进行评审。</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优良的，得6≤F≤10分；一般的，得4≤F＜6分；差的，得0＜F＜4分，未提供的不得分。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注：“F”为投标人得分。</w:t>
            </w:r>
          </w:p>
        </w:tc>
        <w:tc>
          <w:tcPr>
            <w:tcW w:w="1407" w:type="dxa"/>
            <w:noWrap/>
            <w:vAlign w:val="center"/>
          </w:tcPr>
          <w:p>
            <w:pPr>
              <w:spacing w:line="240" w:lineRule="auto"/>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w:t>
            </w:r>
            <w:r>
              <w:rPr>
                <w:rFonts w:hint="eastAsia"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870" w:type="dxa"/>
            <w:noWrap/>
            <w:vAlign w:val="center"/>
          </w:tcPr>
          <w:p>
            <w:pPr>
              <w:spacing w:line="360" w:lineRule="auto"/>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7</w:t>
            </w:r>
          </w:p>
        </w:tc>
        <w:tc>
          <w:tcPr>
            <w:tcW w:w="1749" w:type="dxa"/>
            <w:noWrap/>
            <w:vAlign w:val="center"/>
          </w:tcPr>
          <w:p>
            <w:pPr>
              <w:spacing w:before="78" w:line="219" w:lineRule="auto"/>
              <w:jc w:val="center"/>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管理体系认证</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eastAsia" w:ascii="宋体" w:hAnsi="宋体" w:eastAsia="宋体" w:cs="宋体"/>
                <w:spacing w:val="-2"/>
                <w:sz w:val="24"/>
                <w:szCs w:val="24"/>
                <w:highlight w:val="none"/>
              </w:rPr>
              <w:t>情况</w:t>
            </w:r>
          </w:p>
        </w:tc>
        <w:tc>
          <w:tcPr>
            <w:tcW w:w="5115"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highlight w:val="none"/>
                <w:lang w:val="en-US" w:eastAsia="zh-CN"/>
              </w:rPr>
            </w:pPr>
            <w:r>
              <w:rPr>
                <w:rFonts w:hint="eastAsia" w:ascii="宋体" w:hAnsi="宋体" w:eastAsia="宋体" w:cs="宋体"/>
                <w:spacing w:val="-1"/>
                <w:sz w:val="24"/>
                <w:szCs w:val="24"/>
                <w:highlight w:val="none"/>
                <w:lang w:eastAsia="zh-CN"/>
              </w:rPr>
              <w:t>投标人</w:t>
            </w:r>
            <w:r>
              <w:rPr>
                <w:rFonts w:hint="eastAsia" w:ascii="宋体" w:hAnsi="宋体" w:eastAsia="宋体" w:cs="宋体"/>
                <w:spacing w:val="-1"/>
                <w:sz w:val="24"/>
                <w:szCs w:val="24"/>
                <w:highlight w:val="none"/>
              </w:rPr>
              <w:t>具有有效的质量管理体系认证、环境管理体系认证、职业健康安全管理体系认证，</w:t>
            </w:r>
            <w:r>
              <w:rPr>
                <w:rFonts w:hint="eastAsia" w:ascii="宋体" w:hAnsi="宋体" w:eastAsia="宋体" w:cs="宋体"/>
                <w:spacing w:val="-1"/>
                <w:sz w:val="24"/>
                <w:szCs w:val="24"/>
                <w:highlight w:val="none"/>
                <w:lang w:eastAsia="zh-CN"/>
              </w:rPr>
              <w:t>每项</w:t>
            </w:r>
            <w:r>
              <w:rPr>
                <w:rFonts w:hint="eastAsia" w:ascii="宋体" w:hAnsi="宋体" w:eastAsia="宋体" w:cs="宋体"/>
                <w:spacing w:val="-1"/>
                <w:sz w:val="24"/>
                <w:szCs w:val="24"/>
                <w:highlight w:val="none"/>
                <w:lang w:val="en-US" w:eastAsia="zh-CN"/>
              </w:rPr>
              <w:t>5分，满分</w:t>
            </w:r>
            <w:r>
              <w:rPr>
                <w:rFonts w:hint="eastAsia" w:ascii="宋体" w:hAnsi="宋体" w:eastAsia="宋体" w:cs="宋体"/>
                <w:spacing w:val="-1"/>
                <w:sz w:val="24"/>
                <w:szCs w:val="24"/>
                <w:highlight w:val="none"/>
              </w:rPr>
              <w:t xml:space="preserve"> </w:t>
            </w:r>
            <w:r>
              <w:rPr>
                <w:rFonts w:hint="eastAsia" w:ascii="宋体" w:hAnsi="宋体" w:eastAsia="宋体" w:cs="宋体"/>
                <w:spacing w:val="-1"/>
                <w:sz w:val="24"/>
                <w:szCs w:val="24"/>
                <w:highlight w:val="none"/>
                <w:lang w:val="en-US" w:eastAsia="zh-CN"/>
              </w:rPr>
              <w:t>15</w:t>
            </w:r>
            <w:r>
              <w:rPr>
                <w:rFonts w:hint="eastAsia" w:ascii="宋体" w:hAnsi="宋体" w:eastAsia="宋体" w:cs="宋体"/>
                <w:spacing w:val="-1"/>
                <w:sz w:val="24"/>
                <w:szCs w:val="24"/>
                <w:highlight w:val="none"/>
              </w:rPr>
              <w:t xml:space="preserve"> 分</w:t>
            </w:r>
            <w:r>
              <w:rPr>
                <w:rFonts w:hint="eastAsia" w:ascii="宋体" w:hAnsi="宋体" w:eastAsia="宋体" w:cs="宋体"/>
                <w:spacing w:val="-1"/>
                <w:sz w:val="24"/>
                <w:szCs w:val="24"/>
                <w:highlight w:val="none"/>
                <w:lang w:eastAsia="zh-CN"/>
              </w:rPr>
              <w:t>。</w:t>
            </w:r>
          </w:p>
        </w:tc>
        <w:tc>
          <w:tcPr>
            <w:tcW w:w="1407" w:type="dxa"/>
            <w:noWrap/>
            <w:vAlign w:val="center"/>
          </w:tcPr>
          <w:p>
            <w:pPr>
              <w:spacing w:line="240" w:lineRule="auto"/>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w:t>
            </w:r>
            <w:r>
              <w:rPr>
                <w:rFonts w:hint="eastAsia" w:ascii="Times New Roman" w:hAnsi="Times New Roman" w:eastAsia="宋体" w:cs="Times New Roman"/>
                <w:color w:val="auto"/>
                <w:sz w:val="24"/>
                <w:szCs w:val="24"/>
                <w:highlight w:val="none"/>
                <w:lang w:val="en-US" w:eastAsia="zh-CN"/>
              </w:rPr>
              <w:t>15</w:t>
            </w:r>
            <w:r>
              <w:rPr>
                <w:rFonts w:hint="default" w:ascii="Times New Roman" w:hAnsi="Times New Roman" w:eastAsia="宋体" w:cs="Times New Roman"/>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619" w:type="dxa"/>
            <w:gridSpan w:val="2"/>
            <w:noWrap/>
            <w:vAlign w:val="center"/>
          </w:tcPr>
          <w:p>
            <w:pPr>
              <w:spacing w:line="240" w:lineRule="auto"/>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合计</w:t>
            </w:r>
          </w:p>
        </w:tc>
        <w:tc>
          <w:tcPr>
            <w:tcW w:w="5115" w:type="dxa"/>
            <w:noWrap/>
            <w:vAlign w:val="center"/>
          </w:tcPr>
          <w:p>
            <w:pPr>
              <w:spacing w:line="240" w:lineRule="auto"/>
              <w:rPr>
                <w:rFonts w:hint="default" w:ascii="Times New Roman" w:hAnsi="Times New Roman" w:eastAsia="宋体" w:cs="Times New Roman"/>
                <w:color w:val="auto"/>
                <w:sz w:val="24"/>
                <w:szCs w:val="24"/>
                <w:highlight w:val="none"/>
                <w:lang w:val="en-US" w:eastAsia="zh-CN"/>
              </w:rPr>
            </w:pPr>
          </w:p>
        </w:tc>
        <w:tc>
          <w:tcPr>
            <w:tcW w:w="1407" w:type="dxa"/>
            <w:noWrap/>
            <w:vAlign w:val="center"/>
          </w:tcPr>
          <w:p>
            <w:pPr>
              <w:spacing w:line="240" w:lineRule="auto"/>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90</w:t>
            </w:r>
            <w:r>
              <w:rPr>
                <w:rFonts w:hint="default" w:ascii="Times New Roman" w:hAnsi="Times New Roman" w:eastAsia="宋体" w:cs="Times New Roman"/>
                <w:color w:val="auto"/>
                <w:sz w:val="24"/>
                <w:szCs w:val="24"/>
                <w:highlight w:val="none"/>
                <w:lang w:val="en-US" w:eastAsia="zh-CN"/>
              </w:rPr>
              <w:t>分</w:t>
            </w:r>
          </w:p>
        </w:tc>
      </w:tr>
    </w:tbl>
    <w:p>
      <w:pPr>
        <w:spacing w:line="360" w:lineRule="auto"/>
        <w:ind w:firstLine="435"/>
        <w:rPr>
          <w:rFonts w:hint="default" w:ascii="Times New Roman" w:hAnsi="Times New Roman" w:eastAsia="宋体" w:cs="Times New Roman"/>
          <w:color w:val="auto"/>
          <w:sz w:val="24"/>
          <w:highlight w:val="none"/>
        </w:rPr>
      </w:pPr>
    </w:p>
    <w:p>
      <w:pPr>
        <w:spacing w:line="360" w:lineRule="auto"/>
        <w:ind w:firstLine="435"/>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2.3.3商务部分得分计算</w:t>
      </w:r>
    </w:p>
    <w:p>
      <w:pPr>
        <w:spacing w:line="360" w:lineRule="auto"/>
        <w:ind w:firstLine="435"/>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sz w:val="24"/>
          <w:highlight w:val="none"/>
          <w:lang w:val="en-US" w:eastAsia="zh-CN"/>
        </w:rPr>
        <w:t>依据通过初审的有效投标人名单，其投标人的商务部分得分按照以下方式计算：</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1740"/>
        <w:gridCol w:w="5113"/>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2" w:hRule="atLeast"/>
          <w:jc w:val="center"/>
        </w:trPr>
        <w:tc>
          <w:tcPr>
            <w:tcW w:w="506" w:type="pct"/>
            <w:noWrap w:val="0"/>
            <w:vAlign w:val="center"/>
          </w:tcPr>
          <w:p>
            <w:pPr>
              <w:spacing w:line="240" w:lineRule="auto"/>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商务部分</w:t>
            </w:r>
          </w:p>
        </w:tc>
        <w:tc>
          <w:tcPr>
            <w:tcW w:w="960" w:type="pct"/>
            <w:noWrap w:val="0"/>
            <w:vAlign w:val="center"/>
          </w:tcPr>
          <w:p>
            <w:pPr>
              <w:spacing w:line="240" w:lineRule="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最终投标报价</w:t>
            </w:r>
          </w:p>
        </w:tc>
        <w:tc>
          <w:tcPr>
            <w:tcW w:w="282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价格分统一采用有效最低价法，即满足招标文件要求且最终报价最低的投标报价为评标基准价，其价格分为满分。其他投标人的价格分统一按照下列公式计算：投标报价得分＝（评标基准价/最终报价）×</w:t>
            </w:r>
            <w:r>
              <w:rPr>
                <w:rFonts w:hint="eastAsia"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lang w:val="en-US" w:eastAsia="zh-CN"/>
              </w:rPr>
              <w:t>％×100</w:t>
            </w:r>
            <w:r>
              <w:rPr>
                <w:rFonts w:hint="eastAsia" w:ascii="Times New Roman" w:hAnsi="Times New Roman" w:eastAsia="宋体" w:cs="Times New Roman"/>
                <w:color w:val="auto"/>
                <w:sz w:val="24"/>
                <w:szCs w:val="24"/>
                <w:highlight w:val="none"/>
                <w:lang w:val="en-US" w:eastAsia="zh-CN"/>
              </w:rPr>
              <w:t>。</w:t>
            </w:r>
          </w:p>
          <w:p>
            <w:pPr>
              <w:pStyle w:val="15"/>
              <w:rPr>
                <w:rFonts w:hint="default" w:ascii="Times New Roman" w:hAnsi="Times New Roman" w:eastAsia="宋体" w:cs="Times New Roman"/>
                <w:color w:val="auto"/>
                <w:sz w:val="24"/>
                <w:szCs w:val="24"/>
                <w:highlight w:val="none"/>
                <w:lang w:val="en-US" w:eastAsia="zh-CN"/>
              </w:rPr>
            </w:pPr>
          </w:p>
          <w:p>
            <w:pPr>
              <w:rPr>
                <w:rFonts w:hint="default"/>
                <w:lang w:val="en-US" w:eastAsia="zh-CN"/>
              </w:rPr>
            </w:pPr>
          </w:p>
        </w:tc>
        <w:tc>
          <w:tcPr>
            <w:tcW w:w="712" w:type="pct"/>
            <w:noWrap w:val="0"/>
            <w:vAlign w:val="center"/>
          </w:tcPr>
          <w:p>
            <w:pPr>
              <w:spacing w:line="240" w:lineRule="auto"/>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w:t>
            </w:r>
            <w:r>
              <w:rPr>
                <w:rFonts w:hint="eastAsia"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lang w:val="en-US" w:eastAsia="zh-CN"/>
              </w:rPr>
              <w:t>分</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2.4推荐中标候选人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2.4.1计算最终得分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将每个有效投标人的技术部分得分加商务部分得分，得出该投标人的最终得分。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投标人的各项得分均保留小数点后两位（小数点后第三位四舍五入）。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2.4.2按照有效投标人最终得分由高到低排出中标候选人。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1"/>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最终得分相同的，按技术部分得分由高到低顺序排序。技术部分得分及最终得分均相同的，则采取评标小组抽签方式确定其前后次序。</w:t>
      </w:r>
    </w:p>
    <w:p>
      <w:pPr>
        <w:pStyle w:val="5"/>
        <w:rPr>
          <w:rFonts w:hint="default" w:ascii="Times New Roman" w:hAnsi="Times New Roman" w:eastAsia="宋体" w:cs="Times New Roman"/>
          <w:b w:val="0"/>
          <w:bCs/>
          <w:color w:val="auto"/>
          <w:sz w:val="24"/>
          <w:szCs w:val="24"/>
          <w:highlight w:val="none"/>
          <w:lang w:val="en-US" w:eastAsia="zh-CN"/>
        </w:rPr>
      </w:pPr>
    </w:p>
    <w:p>
      <w:pPr>
        <w:rPr>
          <w:rFonts w:hint="default" w:ascii="Times New Roman" w:hAnsi="Times New Roman" w:eastAsia="宋体" w:cs="Times New Roman"/>
          <w:b w:val="0"/>
          <w:bCs/>
          <w:color w:val="auto"/>
          <w:sz w:val="24"/>
          <w:szCs w:val="24"/>
          <w:highlight w:val="none"/>
          <w:lang w:val="en-US" w:eastAsia="zh-CN"/>
        </w:rPr>
      </w:pPr>
    </w:p>
    <w:p>
      <w:pPr>
        <w:pStyle w:val="2"/>
        <w:rPr>
          <w:rFonts w:hint="default" w:ascii="Times New Roman" w:hAnsi="Times New Roman" w:eastAsia="宋体" w:cs="Times New Roman"/>
          <w:b w:val="0"/>
          <w:bCs/>
          <w:color w:val="auto"/>
          <w:sz w:val="24"/>
          <w:szCs w:val="24"/>
          <w:highlight w:val="none"/>
          <w:lang w:val="en-US" w:eastAsia="zh-CN"/>
        </w:rPr>
      </w:pPr>
    </w:p>
    <w:p>
      <w:pPr>
        <w:rPr>
          <w:rFonts w:hint="default" w:ascii="Times New Roman" w:hAnsi="Times New Roman" w:eastAsia="宋体" w:cs="Times New Roman"/>
          <w:b w:val="0"/>
          <w:bCs/>
          <w:color w:val="auto"/>
          <w:sz w:val="24"/>
          <w:szCs w:val="24"/>
          <w:highlight w:val="none"/>
          <w:lang w:val="en-US" w:eastAsia="zh-CN"/>
        </w:rPr>
      </w:pPr>
    </w:p>
    <w:p>
      <w:pPr>
        <w:pStyle w:val="2"/>
        <w:rPr>
          <w:rFonts w:hint="default" w:ascii="Times New Roman" w:hAnsi="Times New Roman" w:eastAsia="宋体" w:cs="Times New Roman"/>
          <w:b w:val="0"/>
          <w:bCs/>
          <w:color w:val="auto"/>
          <w:sz w:val="24"/>
          <w:szCs w:val="24"/>
          <w:highlight w:val="none"/>
          <w:lang w:val="en-US" w:eastAsia="zh-CN"/>
        </w:rPr>
      </w:pPr>
    </w:p>
    <w:p>
      <w:pPr>
        <w:rPr>
          <w:rFonts w:hint="default" w:ascii="Times New Roman" w:hAnsi="Times New Roman" w:eastAsia="宋体" w:cs="Times New Roman"/>
          <w:b w:val="0"/>
          <w:bCs/>
          <w:color w:val="auto"/>
          <w:sz w:val="24"/>
          <w:szCs w:val="24"/>
          <w:highlight w:val="none"/>
          <w:lang w:val="en-US" w:eastAsia="zh-CN"/>
        </w:rPr>
      </w:pPr>
    </w:p>
    <w:p>
      <w:pPr>
        <w:pStyle w:val="2"/>
        <w:rPr>
          <w:rFonts w:hint="default" w:ascii="Times New Roman" w:hAnsi="Times New Roman" w:eastAsia="宋体" w:cs="Times New Roman"/>
          <w:b w:val="0"/>
          <w:bCs/>
          <w:color w:val="auto"/>
          <w:sz w:val="24"/>
          <w:szCs w:val="24"/>
          <w:highlight w:val="none"/>
          <w:lang w:val="en-US" w:eastAsia="zh-CN"/>
        </w:rPr>
      </w:pPr>
    </w:p>
    <w:p>
      <w:pPr>
        <w:rPr>
          <w:rFonts w:hint="default" w:ascii="Times New Roman" w:hAnsi="Times New Roman" w:eastAsia="宋体" w:cs="Times New Roman"/>
          <w:b w:val="0"/>
          <w:bCs/>
          <w:color w:val="auto"/>
          <w:sz w:val="24"/>
          <w:szCs w:val="24"/>
          <w:highlight w:val="none"/>
          <w:lang w:val="en-US" w:eastAsia="zh-CN"/>
        </w:rPr>
      </w:pPr>
    </w:p>
    <w:p>
      <w:pPr>
        <w:pStyle w:val="2"/>
        <w:rPr>
          <w:rFonts w:hint="default"/>
          <w:lang w:val="en-US" w:eastAsia="zh-CN"/>
        </w:rPr>
      </w:pPr>
    </w:p>
    <w:p>
      <w:pPr>
        <w:rPr>
          <w:rFonts w:hint="default" w:ascii="Times New Roman" w:hAnsi="Times New Roman" w:eastAsia="宋体" w:cs="Times New Roman"/>
          <w:b w:val="0"/>
          <w:bCs/>
          <w:color w:val="auto"/>
          <w:sz w:val="24"/>
          <w:szCs w:val="24"/>
          <w:highlight w:val="none"/>
          <w:lang w:val="en-US" w:eastAsia="zh-CN"/>
        </w:rPr>
      </w:pPr>
    </w:p>
    <w:p>
      <w:pPr>
        <w:pStyle w:val="5"/>
        <w:rPr>
          <w:rFonts w:hint="default" w:ascii="Times New Roman" w:hAnsi="Times New Roman" w:eastAsia="宋体" w:cs="Times New Roman"/>
          <w:b w:val="0"/>
          <w:bCs/>
          <w:color w:val="auto"/>
          <w:sz w:val="24"/>
          <w:szCs w:val="24"/>
          <w:highlight w:val="none"/>
          <w:lang w:val="en-US" w:eastAsia="zh-CN"/>
        </w:rPr>
      </w:pPr>
    </w:p>
    <w:p>
      <w:pPr>
        <w:rPr>
          <w:rFonts w:hint="default" w:ascii="Times New Roman" w:hAnsi="Times New Roman" w:eastAsia="宋体" w:cs="Times New Roman"/>
          <w:b w:val="0"/>
          <w:bCs/>
          <w:color w:val="auto"/>
          <w:sz w:val="24"/>
          <w:szCs w:val="24"/>
          <w:highlight w:val="none"/>
          <w:lang w:val="en-US" w:eastAsia="zh-CN"/>
        </w:rPr>
      </w:pPr>
    </w:p>
    <w:p>
      <w:pPr>
        <w:pStyle w:val="5"/>
        <w:rPr>
          <w:rFonts w:hint="default" w:ascii="Times New Roman" w:hAnsi="Times New Roman" w:eastAsia="宋体" w:cs="Times New Roman"/>
          <w:b w:val="0"/>
          <w:bCs/>
          <w:color w:val="auto"/>
          <w:sz w:val="24"/>
          <w:szCs w:val="24"/>
          <w:highlight w:val="none"/>
          <w:lang w:val="en-US" w:eastAsia="zh-CN"/>
        </w:rPr>
      </w:pPr>
    </w:p>
    <w:p>
      <w:pPr>
        <w:rPr>
          <w:rFonts w:hint="default" w:ascii="Times New Roman" w:hAnsi="Times New Roman" w:eastAsia="宋体" w:cs="Times New Roman"/>
          <w:b w:val="0"/>
          <w:bCs/>
          <w:color w:val="auto"/>
          <w:sz w:val="24"/>
          <w:szCs w:val="24"/>
          <w:highlight w:val="none"/>
          <w:lang w:val="en-US" w:eastAsia="zh-CN"/>
        </w:rPr>
      </w:pPr>
    </w:p>
    <w:p>
      <w:pPr>
        <w:pStyle w:val="5"/>
        <w:rPr>
          <w:rFonts w:hint="default" w:ascii="Times New Roman" w:hAnsi="Times New Roman" w:eastAsia="宋体" w:cs="Times New Roman"/>
          <w:b w:val="0"/>
          <w:bCs/>
          <w:color w:val="auto"/>
          <w:sz w:val="24"/>
          <w:szCs w:val="24"/>
          <w:highlight w:val="none"/>
          <w:lang w:val="en-US" w:eastAsia="zh-CN"/>
        </w:rPr>
      </w:pPr>
    </w:p>
    <w:p>
      <w:pPr>
        <w:rPr>
          <w:rFonts w:hint="default" w:ascii="Times New Roman" w:hAnsi="Times New Roman" w:eastAsia="宋体" w:cs="Times New Roman"/>
          <w:b w:val="0"/>
          <w:bCs/>
          <w:color w:val="auto"/>
          <w:sz w:val="24"/>
          <w:szCs w:val="24"/>
          <w:highlight w:val="none"/>
          <w:lang w:val="en-US" w:eastAsia="zh-CN"/>
        </w:rPr>
      </w:pPr>
    </w:p>
    <w:p>
      <w:pPr>
        <w:pStyle w:val="15"/>
        <w:rPr>
          <w:rFonts w:hint="default"/>
          <w:lang w:val="en-US" w:eastAsia="zh-CN"/>
        </w:rPr>
      </w:pPr>
    </w:p>
    <w:p>
      <w:pPr>
        <w:numPr>
          <w:ilvl w:val="0"/>
          <w:numId w:val="0"/>
        </w:numPr>
        <w:spacing w:line="360" w:lineRule="auto"/>
        <w:jc w:val="center"/>
        <w:outlineLvl w:val="1"/>
        <w:rPr>
          <w:rFonts w:hint="eastAsia" w:ascii="Times New Roman" w:hAnsi="Times New Roman" w:eastAsia="宋体" w:cs="Times New Roman"/>
          <w:b/>
          <w:color w:val="auto"/>
          <w:kern w:val="20"/>
          <w:sz w:val="28"/>
          <w:szCs w:val="44"/>
          <w:lang w:val="en-US" w:eastAsia="zh-CN" w:bidi="ar-SA"/>
        </w:rPr>
      </w:pPr>
      <w:bookmarkStart w:id="28" w:name="_Toc7286"/>
      <w:bookmarkStart w:id="29" w:name="_Toc74896746"/>
    </w:p>
    <w:p>
      <w:pPr>
        <w:numPr>
          <w:ilvl w:val="0"/>
          <w:numId w:val="0"/>
        </w:numPr>
        <w:spacing w:line="360" w:lineRule="auto"/>
        <w:jc w:val="center"/>
        <w:outlineLvl w:val="1"/>
        <w:rPr>
          <w:rFonts w:hint="eastAsia" w:ascii="Times New Roman" w:hAnsi="Times New Roman" w:eastAsia="宋体" w:cs="Times New Roman"/>
          <w:b/>
          <w:color w:val="auto"/>
          <w:kern w:val="20"/>
          <w:sz w:val="28"/>
          <w:szCs w:val="44"/>
          <w:lang w:val="en-US" w:eastAsia="zh-CN" w:bidi="ar-SA"/>
        </w:rPr>
      </w:pPr>
    </w:p>
    <w:p>
      <w:pPr>
        <w:numPr>
          <w:ilvl w:val="0"/>
          <w:numId w:val="0"/>
        </w:numPr>
        <w:spacing w:line="360" w:lineRule="auto"/>
        <w:jc w:val="center"/>
        <w:outlineLvl w:val="1"/>
        <w:rPr>
          <w:rFonts w:hint="eastAsia" w:ascii="Times New Roman" w:hAnsi="Times New Roman" w:eastAsia="宋体" w:cs="Times New Roman"/>
          <w:b/>
          <w:color w:val="auto"/>
          <w:kern w:val="20"/>
          <w:sz w:val="28"/>
          <w:szCs w:val="44"/>
          <w:lang w:val="en-US" w:eastAsia="zh-CN" w:bidi="ar-SA"/>
        </w:rPr>
      </w:pPr>
    </w:p>
    <w:p>
      <w:pPr>
        <w:numPr>
          <w:ilvl w:val="0"/>
          <w:numId w:val="0"/>
        </w:numPr>
        <w:spacing w:line="360" w:lineRule="auto"/>
        <w:jc w:val="center"/>
        <w:outlineLvl w:val="1"/>
        <w:rPr>
          <w:rFonts w:hint="eastAsia" w:ascii="Times New Roman" w:hAnsi="Times New Roman" w:eastAsia="宋体" w:cs="Times New Roman"/>
          <w:b/>
          <w:color w:val="auto"/>
          <w:sz w:val="28"/>
          <w:highlight w:val="none"/>
          <w:lang w:val="en-US" w:eastAsia="zh-CN"/>
        </w:rPr>
      </w:pPr>
      <w:r>
        <w:rPr>
          <w:rFonts w:hint="eastAsia" w:ascii="Times New Roman" w:hAnsi="Times New Roman" w:eastAsia="宋体" w:cs="Times New Roman"/>
          <w:b/>
          <w:color w:val="auto"/>
          <w:kern w:val="20"/>
          <w:sz w:val="28"/>
          <w:szCs w:val="44"/>
          <w:lang w:val="en-US" w:eastAsia="zh-CN" w:bidi="ar-SA"/>
        </w:rPr>
        <w:t xml:space="preserve">第四章 </w:t>
      </w:r>
      <w:r>
        <w:rPr>
          <w:rFonts w:hint="default" w:ascii="Times New Roman" w:hAnsi="Times New Roman" w:eastAsia="宋体" w:cs="Times New Roman"/>
          <w:b/>
          <w:color w:val="auto"/>
          <w:sz w:val="28"/>
          <w:highlight w:val="none"/>
        </w:rPr>
        <w:t>合同</w:t>
      </w:r>
      <w:bookmarkEnd w:id="28"/>
      <w:bookmarkEnd w:id="29"/>
      <w:r>
        <w:rPr>
          <w:rFonts w:hint="eastAsia" w:ascii="Times New Roman" w:hAnsi="Times New Roman" w:eastAsia="宋体" w:cs="Times New Roman"/>
          <w:b/>
          <w:color w:val="auto"/>
          <w:sz w:val="28"/>
          <w:highlight w:val="none"/>
          <w:lang w:val="en-US" w:eastAsia="zh-CN"/>
        </w:rPr>
        <w:t>条款</w:t>
      </w:r>
    </w:p>
    <w:p>
      <w:pPr>
        <w:keepNext w:val="0"/>
        <w:keepLines w:val="0"/>
        <w:widowControl w:val="0"/>
        <w:suppressLineNumbers w:val="0"/>
        <w:spacing w:before="0" w:beforeAutospacing="0" w:after="0" w:afterAutospacing="0" w:line="520" w:lineRule="exact"/>
        <w:ind w:left="0" w:right="0"/>
        <w:jc w:val="center"/>
        <w:rPr>
          <w:rFonts w:hint="eastAsia"/>
          <w:color w:val="auto"/>
          <w:lang w:val="en-US" w:eastAsia="zh-CN"/>
        </w:rPr>
      </w:pPr>
      <w:r>
        <w:rPr>
          <w:rFonts w:hint="eastAsia" w:ascii="宋体" w:hAnsi="宋体" w:eastAsia="宋体" w:cs="宋体"/>
          <w:b/>
          <w:bCs/>
          <w:sz w:val="36"/>
          <w:szCs w:val="36"/>
          <w:u w:val="none"/>
          <w:lang w:val="en-US" w:eastAsia="zh-CN"/>
        </w:rPr>
        <w:t>世纪南书房装修改造工程</w:t>
      </w:r>
      <w:r>
        <w:rPr>
          <w:rFonts w:hint="eastAsia" w:ascii="Times New Roman" w:hAnsi="Times New Roman" w:eastAsia="宋体" w:cs="Times New Roman"/>
          <w:b/>
          <w:bCs/>
          <w:color w:val="auto"/>
          <w:sz w:val="36"/>
          <w:szCs w:val="36"/>
          <w:lang w:val="en-US" w:eastAsia="zh-CN"/>
        </w:rPr>
        <w:t>合同</w:t>
      </w:r>
    </w:p>
    <w:p>
      <w:pPr>
        <w:keepNext w:val="0"/>
        <w:keepLines w:val="0"/>
        <w:widowControl w:val="0"/>
        <w:suppressLineNumbers w:val="0"/>
        <w:spacing w:before="0" w:beforeAutospacing="0" w:after="0" w:afterAutospacing="0" w:line="520" w:lineRule="exact"/>
        <w:ind w:left="0" w:right="0"/>
        <w:jc w:val="both"/>
        <w:rPr>
          <w:rFonts w:hint="default" w:ascii="Times New Roman" w:hAnsi="Times New Roman" w:eastAsia="宋体" w:cs="Times New Roman"/>
          <w:color w:val="auto"/>
          <w:sz w:val="36"/>
          <w:szCs w:val="36"/>
          <w:lang w:val="en-US"/>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 xml:space="preserve">招标人（甲方）：                                                </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lang w:val="en-US" w:eastAsia="zh-CN"/>
        </w:rPr>
        <w:t>服务</w:t>
      </w:r>
      <w:r>
        <w:rPr>
          <w:rFonts w:hint="default" w:ascii="Times New Roman" w:hAnsi="Times New Roman" w:cs="Times New Roman"/>
          <w:color w:val="auto"/>
          <w:sz w:val="24"/>
          <w:szCs w:val="32"/>
          <w:highlight w:val="none"/>
        </w:rPr>
        <w:t xml:space="preserve">人（乙方）：                                                </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 xml:space="preserve">签订地点：                                                     </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 xml:space="preserve">项目名称：                                                     </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本项目采用公开方式，经本项目评标委员会认真评审，决定将采购合同授予乙方，为进一步明确双方的责任，确保合同顺利履行，根据《中华人民共和国民法典》之规定，经甲乙双方充分协商，特订立本合同，以便共同遵守。</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32"/>
          <w:highlight w:val="none"/>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第一条</w:t>
      </w:r>
      <w:r>
        <w:rPr>
          <w:rFonts w:hint="eastAsia"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rPr>
        <w:t>服务内容</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乙方同意接受甲方的委托，为甲方提供</w:t>
      </w:r>
      <w:r>
        <w:rPr>
          <w:rFonts w:hint="eastAsia" w:ascii="宋体" w:hAnsi="宋体" w:eastAsia="宋体" w:cs="宋体"/>
          <w:b w:val="0"/>
          <w:bCs w:val="0"/>
          <w:sz w:val="24"/>
          <w:szCs w:val="24"/>
          <w:u w:val="single"/>
          <w:lang w:val="en-US" w:eastAsia="zh-CN"/>
        </w:rPr>
        <w:t>世纪南书房装修改造工程</w:t>
      </w:r>
      <w:r>
        <w:rPr>
          <w:rFonts w:hint="eastAsia" w:cs="Times New Roman"/>
          <w:color w:val="auto"/>
          <w:sz w:val="24"/>
          <w:szCs w:val="24"/>
          <w:highlight w:val="none"/>
          <w:u w:val="single"/>
          <w:lang w:val="en-US" w:eastAsia="zh-CN"/>
        </w:rPr>
        <w:t>施工</w:t>
      </w:r>
      <w:r>
        <w:rPr>
          <w:rFonts w:hint="default" w:ascii="Times New Roman" w:hAnsi="Times New Roman" w:eastAsia="宋体" w:cs="Times New Roman"/>
          <w:color w:val="auto"/>
          <w:sz w:val="24"/>
          <w:szCs w:val="24"/>
          <w:highlight w:val="none"/>
          <w:u w:val="single"/>
          <w:lang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第二条  服务要求</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2.1</w:t>
      </w:r>
      <w:r>
        <w:rPr>
          <w:rFonts w:hint="eastAsia" w:cs="Times New Roman"/>
          <w:color w:val="auto"/>
          <w:sz w:val="24"/>
          <w:szCs w:val="24"/>
          <w:highlight w:val="none"/>
          <w:lang w:val="en-US" w:eastAsia="zh-CN"/>
        </w:rPr>
        <w:t>施工</w:t>
      </w:r>
      <w:r>
        <w:rPr>
          <w:rFonts w:hint="default" w:ascii="Times New Roman" w:hAnsi="Times New Roman" w:eastAsia="宋体" w:cs="Times New Roman"/>
          <w:color w:val="auto"/>
          <w:sz w:val="24"/>
          <w:szCs w:val="24"/>
          <w:highlight w:val="none"/>
          <w:lang w:val="en-US" w:eastAsia="zh-CN"/>
        </w:rPr>
        <w:t>地点：</w:t>
      </w:r>
      <w:r>
        <w:rPr>
          <w:rFonts w:hint="eastAsia" w:cs="Times New Roman"/>
          <w:color w:val="auto"/>
          <w:sz w:val="24"/>
          <w:szCs w:val="24"/>
          <w:highlight w:val="none"/>
          <w:lang w:val="en-US" w:eastAsia="zh-CN"/>
        </w:rPr>
        <w:t>合肥市包河区</w:t>
      </w:r>
      <w:r>
        <w:rPr>
          <w:rFonts w:hint="eastAsia" w:ascii="Times New Roman" w:hAnsi="Times New Roman" w:eastAsia="宋体" w:cs="Times New Roman"/>
          <w:color w:val="auto"/>
          <w:sz w:val="24"/>
          <w:szCs w:val="24"/>
          <w:highlight w:val="none"/>
          <w:lang w:val="en-US" w:eastAsia="zh-CN"/>
        </w:rPr>
        <w:t>万泉河路与天山路路交口西南角</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2.2</w:t>
      </w:r>
      <w:r>
        <w:rPr>
          <w:rFonts w:hint="eastAsia" w:cs="Times New Roman"/>
          <w:color w:val="auto"/>
          <w:sz w:val="24"/>
          <w:szCs w:val="24"/>
          <w:highlight w:val="none"/>
          <w:lang w:val="en-US" w:eastAsia="zh-CN"/>
        </w:rPr>
        <w:t>施工</w:t>
      </w:r>
      <w:r>
        <w:rPr>
          <w:rFonts w:hint="default" w:ascii="Times New Roman" w:hAnsi="Times New Roman" w:eastAsia="宋体" w:cs="Times New Roman"/>
          <w:color w:val="auto"/>
          <w:sz w:val="24"/>
          <w:szCs w:val="24"/>
          <w:highlight w:val="none"/>
          <w:lang w:val="en-US" w:eastAsia="zh-CN"/>
        </w:rPr>
        <w:t>要求：</w:t>
      </w:r>
      <w:r>
        <w:rPr>
          <w:rFonts w:hint="eastAsia" w:cs="Times New Roman"/>
          <w:color w:val="auto"/>
          <w:sz w:val="24"/>
          <w:szCs w:val="24"/>
          <w:highlight w:val="none"/>
          <w:lang w:val="en-US" w:eastAsia="zh-CN"/>
        </w:rPr>
        <w:t>按图、清单施工，材料选型需同甲方确认，不得超过报价单价格。</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2.3</w:t>
      </w:r>
      <w:r>
        <w:rPr>
          <w:rFonts w:hint="eastAsia" w:cs="Times New Roman"/>
          <w:color w:val="auto"/>
          <w:sz w:val="24"/>
          <w:szCs w:val="24"/>
          <w:highlight w:val="none"/>
          <w:lang w:val="en-US" w:eastAsia="zh-CN"/>
        </w:rPr>
        <w:t>施工工期</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30个日历天，具体开工日期以甲方签发的开工令为准</w:t>
      </w:r>
      <w:r>
        <w:rPr>
          <w:rFonts w:hint="default" w:ascii="Times New Roman" w:hAnsi="Times New Roman" w:eastAsia="宋体" w:cs="Times New Roman"/>
          <w:color w:val="auto"/>
          <w:sz w:val="24"/>
          <w:szCs w:val="24"/>
          <w:highlight w:val="none"/>
          <w:lang w:val="en-US"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第</w:t>
      </w:r>
      <w:r>
        <w:rPr>
          <w:rFonts w:hint="default" w:ascii="Times New Roman" w:hAnsi="Times New Roman" w:eastAsia="宋体" w:cs="Times New Roman"/>
          <w:b/>
          <w:bCs/>
          <w:color w:val="auto"/>
          <w:sz w:val="24"/>
          <w:szCs w:val="24"/>
          <w:highlight w:val="none"/>
          <w:lang w:val="en-US" w:eastAsia="zh-CN"/>
        </w:rPr>
        <w:t>三</w:t>
      </w:r>
      <w:r>
        <w:rPr>
          <w:rFonts w:hint="default" w:ascii="Times New Roman" w:hAnsi="Times New Roman" w:eastAsia="宋体" w:cs="Times New Roman"/>
          <w:b/>
          <w:bCs/>
          <w:color w:val="auto"/>
          <w:sz w:val="24"/>
          <w:szCs w:val="24"/>
          <w:highlight w:val="none"/>
        </w:rPr>
        <w:t>条</w:t>
      </w:r>
      <w:r>
        <w:rPr>
          <w:rFonts w:hint="default" w:ascii="Times New Roman" w:hAnsi="Times New Roman" w:eastAsia="宋体"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rPr>
        <w:t>合同价款</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本合同总金额为：人民币</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，税率</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，税金</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。(该价款</w:t>
      </w:r>
      <w:r>
        <w:rPr>
          <w:rFonts w:hint="default" w:ascii="Times New Roman" w:hAnsi="Times New Roman" w:eastAsia="宋体" w:cs="Times New Roman"/>
          <w:color w:val="auto"/>
          <w:sz w:val="24"/>
          <w:szCs w:val="24"/>
          <w:highlight w:val="none"/>
          <w:lang w:val="en-US" w:eastAsia="zh-CN"/>
        </w:rPr>
        <w:t>包括</w:t>
      </w:r>
      <w:r>
        <w:rPr>
          <w:rFonts w:hint="eastAsia" w:eastAsia="宋体" w:cs="Times New Roman"/>
          <w:color w:val="auto"/>
          <w:sz w:val="24"/>
          <w:szCs w:val="24"/>
          <w:highlight w:val="none"/>
          <w:lang w:val="en-US" w:eastAsia="zh-CN"/>
        </w:rPr>
        <w:t>但不限于</w:t>
      </w:r>
      <w:r>
        <w:rPr>
          <w:rFonts w:hint="default" w:ascii="Times New Roman" w:hAnsi="Times New Roman" w:eastAsia="宋体" w:cs="Times New Roman"/>
          <w:color w:val="auto"/>
          <w:sz w:val="24"/>
          <w:szCs w:val="24"/>
          <w:highlight w:val="none"/>
        </w:rPr>
        <w:t>物料制作费、包装费、运输费、人工费、保险费、装卸费、安装调试费、培训费、各种税费、资料费、售后服务费、交付后约定期限内免费维修保养服务费及合同实施过程中的不可预见费用等全部费用、税金等)</w:t>
      </w:r>
      <w:r>
        <w:rPr>
          <w:rFonts w:hint="default" w:ascii="Times New Roman" w:hAnsi="Times New Roman" w:eastAsia="宋体" w:cs="Times New Roman"/>
          <w:color w:val="auto"/>
          <w:sz w:val="24"/>
          <w:szCs w:val="24"/>
          <w:highlight w:val="none"/>
          <w:lang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color w:val="auto"/>
          <w:sz w:val="24"/>
          <w:szCs w:val="24"/>
          <w:highlight w:val="none"/>
        </w:rPr>
        <w:t>本合同包括乙方完成本合同全部委托内容并经甲方验收合格所需的一切费用，除本合同另有约定外，甲方无需向乙方另行支付其他任何费用。</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rPr>
        <w:t>第</w:t>
      </w:r>
      <w:r>
        <w:rPr>
          <w:rFonts w:hint="default" w:ascii="Times New Roman" w:hAnsi="Times New Roman" w:eastAsia="宋体" w:cs="Times New Roman"/>
          <w:b/>
          <w:bCs/>
          <w:color w:val="auto"/>
          <w:sz w:val="24"/>
          <w:szCs w:val="24"/>
          <w:highlight w:val="none"/>
          <w:lang w:val="en-US" w:eastAsia="zh-CN"/>
        </w:rPr>
        <w:t>四</w:t>
      </w:r>
      <w:r>
        <w:rPr>
          <w:rFonts w:hint="default" w:ascii="Times New Roman" w:hAnsi="Times New Roman" w:eastAsia="宋体" w:cs="Times New Roman"/>
          <w:b/>
          <w:bCs/>
          <w:color w:val="auto"/>
          <w:sz w:val="24"/>
          <w:szCs w:val="24"/>
          <w:highlight w:val="none"/>
        </w:rPr>
        <w:t>条</w:t>
      </w:r>
      <w:r>
        <w:rPr>
          <w:rFonts w:hint="default" w:ascii="Times New Roman" w:hAnsi="Times New Roman" w:eastAsia="宋体"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rPr>
        <w:t>支付方式</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4.1本项目为固定总价合同，付款方式具体约定如下：</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highlight w:val="none"/>
          <w:lang w:val="zh-CN" w:eastAsia="zh-CN"/>
        </w:rPr>
        <w:t>付款方式具体约定如下：</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val="en-US" w:eastAsia="zh-CN"/>
        </w:rPr>
        <w:t>工程竣工验收合格后，工程款资料经招标人组织审核后，30天内支付至已完合格工程量的80%</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项目经招标人组织审核后，30天内支付至最终审定价款的97%，余款作为质保金，待质保期满（竣工验收合格后壹年）后一次性无息支付。</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）每次付款前</w:t>
      </w:r>
      <w:r>
        <w:rPr>
          <w:rFonts w:hint="eastAsia" w:eastAsia="宋体" w:cs="Times New Roman"/>
          <w:color w:val="auto"/>
          <w:sz w:val="24"/>
          <w:szCs w:val="24"/>
          <w:highlight w:val="none"/>
          <w:lang w:val="en-US" w:eastAsia="zh-CN"/>
        </w:rPr>
        <w:t>，乙方</w:t>
      </w:r>
      <w:r>
        <w:rPr>
          <w:rFonts w:hint="default" w:ascii="Times New Roman" w:hAnsi="Times New Roman" w:eastAsia="宋体" w:cs="Times New Roman"/>
          <w:color w:val="auto"/>
          <w:sz w:val="24"/>
          <w:szCs w:val="24"/>
          <w:highlight w:val="none"/>
          <w:lang w:val="en-US" w:eastAsia="zh-CN"/>
        </w:rPr>
        <w:t>需开具足额的增值税专用发票，并履行</w:t>
      </w:r>
      <w:r>
        <w:rPr>
          <w:rFonts w:hint="eastAsia" w:eastAsia="宋体" w:cs="Times New Roman"/>
          <w:color w:val="auto"/>
          <w:sz w:val="24"/>
          <w:szCs w:val="24"/>
          <w:highlight w:val="none"/>
          <w:lang w:val="en-US" w:eastAsia="zh-CN"/>
        </w:rPr>
        <w:t>甲方</w:t>
      </w:r>
      <w:r>
        <w:rPr>
          <w:rFonts w:hint="default" w:ascii="Times New Roman" w:hAnsi="Times New Roman" w:eastAsia="宋体" w:cs="Times New Roman"/>
          <w:color w:val="auto"/>
          <w:sz w:val="24"/>
          <w:szCs w:val="24"/>
          <w:highlight w:val="none"/>
          <w:lang w:val="en-US" w:eastAsia="zh-CN"/>
        </w:rPr>
        <w:t>计量支付流程。</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）税金按国家税法规定执行，若在合同履行期间，遇国家税收政策调整,则价税合计金额相应调整，但不含税金额不随增值税税率的变化调整。</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甲方对发票的接收并不表示甲方对该发票的真伪承担责任。如乙方提交虚假发票或该发票存在其他瑕疵而使甲方受到税务机关的处罚或受到其他损失，甲方有权向乙方追偿，并有权要求乙方重新提供合法有效的发票。</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在达到合同约定甲方付款节点时，乙方须将结算申请（包括但不限于合同履行进度证明，甲方验收确认单等）提交给甲方，经双方确认后，乙方开根据结算金额开具相应收款发票并提出付款申请。</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4.4</w:t>
      </w:r>
      <w:r>
        <w:rPr>
          <w:rFonts w:hint="default" w:ascii="Times New Roman" w:hAnsi="Times New Roman" w:eastAsia="宋体" w:cs="Times New Roman"/>
          <w:color w:val="auto"/>
          <w:sz w:val="24"/>
          <w:szCs w:val="24"/>
          <w:highlight w:val="none"/>
        </w:rPr>
        <w:t>甲方收到乙方的付款申请及完备资料后在本合同约定的时限内，将当期费用转帐方式支付至乙方指定的账户，如乙方提供的账户信息发生任何变更，乙方应立即通知甲方。否则，因此发生的一切损失或责任，由乙方自行承担。</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甲方开票信息</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名称；</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纳税人识别号：</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单位地址：</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开户银行：</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银行账户：</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乙方开票信息</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公司名称：</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纳税人识别号：</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税务登记地址：</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电话号码：</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银行账号：</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color w:val="auto"/>
          <w:sz w:val="24"/>
          <w:szCs w:val="24"/>
          <w:highlight w:val="none"/>
        </w:rPr>
        <w:t>开 户 行：</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rPr>
        <w:t>第</w:t>
      </w:r>
      <w:r>
        <w:rPr>
          <w:rFonts w:hint="default" w:ascii="Times New Roman" w:hAnsi="Times New Roman" w:eastAsia="宋体" w:cs="Times New Roman"/>
          <w:b/>
          <w:bCs/>
          <w:color w:val="auto"/>
          <w:sz w:val="24"/>
          <w:szCs w:val="24"/>
          <w:highlight w:val="none"/>
          <w:lang w:val="en-US" w:eastAsia="zh-CN"/>
        </w:rPr>
        <w:t>五</w:t>
      </w:r>
      <w:r>
        <w:rPr>
          <w:rFonts w:hint="default" w:ascii="Times New Roman" w:hAnsi="Times New Roman" w:eastAsia="宋体" w:cs="Times New Roman"/>
          <w:b/>
          <w:bCs/>
          <w:color w:val="auto"/>
          <w:sz w:val="24"/>
          <w:szCs w:val="24"/>
          <w:highlight w:val="none"/>
        </w:rPr>
        <w:t>条</w:t>
      </w:r>
      <w:r>
        <w:rPr>
          <w:rFonts w:hint="default" w:ascii="Times New Roman" w:hAnsi="Times New Roman" w:eastAsia="宋体" w:cs="Times New Roman"/>
          <w:b/>
          <w:bCs/>
          <w:color w:val="auto"/>
          <w:sz w:val="24"/>
          <w:szCs w:val="24"/>
          <w:highlight w:val="none"/>
          <w:lang w:val="en-US" w:eastAsia="zh-CN"/>
        </w:rPr>
        <w:t xml:space="preserve">  权利与义务</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5.1甲方权利和义务</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（1）甲方有权监督施工进程，并提出合理建议；</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（2）施工、调试期间，</w:t>
      </w:r>
      <w:r>
        <w:rPr>
          <w:rFonts w:hint="eastAsia" w:eastAsia="宋体" w:cs="Times New Roman"/>
          <w:color w:val="auto"/>
          <w:sz w:val="24"/>
          <w:szCs w:val="24"/>
          <w:highlight w:val="none"/>
          <w:lang w:val="en-US" w:eastAsia="zh-CN"/>
        </w:rPr>
        <w:t>甲方</w:t>
      </w:r>
      <w:r>
        <w:rPr>
          <w:rFonts w:hint="default" w:ascii="Times New Roman" w:hAnsi="Times New Roman" w:eastAsia="宋体" w:cs="Times New Roman"/>
          <w:color w:val="auto"/>
          <w:sz w:val="24"/>
          <w:szCs w:val="24"/>
          <w:highlight w:val="none"/>
          <w:lang w:val="en-US" w:eastAsia="zh-CN"/>
        </w:rPr>
        <w:t>协助</w:t>
      </w:r>
      <w:r>
        <w:rPr>
          <w:rFonts w:hint="eastAsia" w:eastAsia="宋体" w:cs="Times New Roman"/>
          <w:color w:val="auto"/>
          <w:sz w:val="24"/>
          <w:szCs w:val="24"/>
          <w:highlight w:val="none"/>
          <w:lang w:val="en-US" w:eastAsia="zh-CN"/>
        </w:rPr>
        <w:t>乙方</w:t>
      </w:r>
      <w:r>
        <w:rPr>
          <w:rFonts w:hint="default" w:ascii="Times New Roman" w:hAnsi="Times New Roman" w:eastAsia="宋体" w:cs="Times New Roman"/>
          <w:color w:val="auto"/>
          <w:sz w:val="24"/>
          <w:szCs w:val="24"/>
          <w:highlight w:val="none"/>
          <w:lang w:val="en-US" w:eastAsia="zh-CN"/>
        </w:rPr>
        <w:t>解决水、电接驳点事宜，但施工、调试期间产生所有水电费由</w:t>
      </w:r>
      <w:r>
        <w:rPr>
          <w:rFonts w:hint="eastAsia" w:eastAsia="宋体" w:cs="Times New Roman"/>
          <w:color w:val="auto"/>
          <w:sz w:val="24"/>
          <w:szCs w:val="24"/>
          <w:highlight w:val="none"/>
          <w:lang w:val="en-US" w:eastAsia="zh-CN"/>
        </w:rPr>
        <w:t>乙方</w:t>
      </w:r>
      <w:r>
        <w:rPr>
          <w:rFonts w:hint="default" w:ascii="Times New Roman" w:hAnsi="Times New Roman" w:eastAsia="宋体" w:cs="Times New Roman"/>
          <w:color w:val="auto"/>
          <w:sz w:val="24"/>
          <w:szCs w:val="24"/>
          <w:highlight w:val="none"/>
          <w:lang w:val="en-US" w:eastAsia="zh-CN"/>
        </w:rPr>
        <w:t>承担</w:t>
      </w:r>
      <w:r>
        <w:rPr>
          <w:rFonts w:hint="eastAsia" w:eastAsia="宋体" w:cs="Times New Roman"/>
          <w:color w:val="auto"/>
          <w:sz w:val="24"/>
          <w:szCs w:val="24"/>
          <w:highlight w:val="none"/>
          <w:lang w:val="en-US"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甲方工作需求更改涉及增减费用的，由双方协商并形成补充协议；造成工作延期的，由乙方提出书面申请，经甲方经办人签署同意意见的，于合同时间中按期顺延。</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若质量不符合要求，甲方有权拒绝付款。</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5.2乙方权利和义务</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（1）遵守现场管理、《安全管理规定》、《用电管理安全规定》</w:t>
      </w:r>
      <w:r>
        <w:rPr>
          <w:rFonts w:hint="eastAsia" w:eastAsia="宋体" w:cs="Times New Roman"/>
          <w:color w:val="auto"/>
          <w:sz w:val="24"/>
          <w:szCs w:val="24"/>
          <w:highlight w:val="none"/>
          <w:lang w:val="en-US" w:eastAsia="zh-CN"/>
        </w:rPr>
        <w:t>，</w:t>
      </w:r>
      <w:r>
        <w:rPr>
          <w:rFonts w:hint="eastAsia" w:ascii="Times New Roman" w:hAnsi="Times New Roman" w:eastAsia="宋体" w:cs="Times New Roman"/>
          <w:b w:val="0"/>
          <w:color w:val="auto"/>
          <w:sz w:val="24"/>
          <w:highlight w:val="none"/>
          <w:lang w:val="en-US" w:eastAsia="zh-CN"/>
        </w:rPr>
        <w:t>须不影响现场接待等相关事务。</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（2）需严格按照甲乙双方确认的图纸施工，不得偷工减料，涉及需要施工资质的部分施工，如乙方无相应资质的，乙方应委托有专业资质的单位实施。</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（3）因乙方施工造成的人身伤亡、工程事故、财产损失等，均由乙方负责处理完毕并承担全部经济损失。</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乙方须遵守当地政府和有关部门对交通、环境卫生、噪声、市政、安全、消防等方面的规定并承担相关的协调工作和费用；施工和使用过程中如发生违规或造成第三方及公众利益受损害，乙方应负全部法律责任包括但不限于相应赔偿责任和承担罚款等；如有隐蔽施工，乙方需做好记录并交甲方管理人员；乙方需做好施工现场工作，保持现场清洁、道路畅通，竣工后及时清理现场，做到工完场清。</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5</w:t>
      </w:r>
      <w:r>
        <w:rPr>
          <w:rFonts w:hint="default"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如乙方施工未达到甲方规定要求，乙方负责返工并承担一切所发生的费用。</w:t>
      </w:r>
    </w:p>
    <w:p>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Times New Roman" w:hAnsi="Times New Roman" w:eastAsia="宋体" w:cs="Times New Roman"/>
          <w:b w:val="0"/>
          <w:color w:val="auto"/>
          <w:sz w:val="24"/>
          <w:highlight w:val="none"/>
          <w:lang w:val="en-US" w:eastAsia="zh-CN"/>
        </w:rPr>
      </w:pPr>
      <w:r>
        <w:rPr>
          <w:rFonts w:hint="eastAsia" w:ascii="Times New Roman" w:hAnsi="Times New Roman" w:eastAsia="宋体" w:cs="Times New Roman"/>
          <w:b w:val="0"/>
          <w:color w:val="auto"/>
          <w:sz w:val="24"/>
          <w:highlight w:val="none"/>
          <w:lang w:val="en-US" w:eastAsia="zh-CN"/>
        </w:rPr>
        <w:t>（6）</w:t>
      </w:r>
      <w:r>
        <w:rPr>
          <w:rFonts w:hint="default" w:ascii="Times New Roman" w:hAnsi="Times New Roman" w:eastAsia="宋体" w:cs="Times New Roman"/>
          <w:b w:val="0"/>
          <w:color w:val="auto"/>
          <w:sz w:val="24"/>
          <w:highlight w:val="none"/>
          <w:lang w:val="en-US" w:eastAsia="zh-CN"/>
        </w:rPr>
        <w:t>施工期间，</w:t>
      </w:r>
      <w:r>
        <w:rPr>
          <w:rFonts w:hint="eastAsia" w:ascii="Times New Roman" w:hAnsi="Times New Roman" w:eastAsia="宋体" w:cs="Times New Roman"/>
          <w:b w:val="0"/>
          <w:color w:val="auto"/>
          <w:sz w:val="24"/>
          <w:highlight w:val="none"/>
          <w:lang w:val="en-US" w:eastAsia="zh-CN"/>
        </w:rPr>
        <w:t>乙方须无条件服从小区物业公司管理，须按其规定缴纳可能产生的费用及相关保证金、押金等。</w:t>
      </w:r>
    </w:p>
    <w:p>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Times New Roman" w:hAnsi="Times New Roman" w:eastAsia="宋体" w:cs="Times New Roman"/>
          <w:b w:val="0"/>
          <w:color w:val="auto"/>
          <w:sz w:val="24"/>
          <w:highlight w:val="none"/>
          <w:lang w:val="en-US" w:eastAsia="zh-CN"/>
        </w:rPr>
      </w:pPr>
      <w:r>
        <w:rPr>
          <w:rFonts w:hint="eastAsia" w:ascii="Times New Roman" w:hAnsi="Times New Roman" w:eastAsia="宋体" w:cs="Times New Roman"/>
          <w:b w:val="0"/>
          <w:color w:val="auto"/>
          <w:sz w:val="24"/>
          <w:highlight w:val="none"/>
          <w:lang w:val="en-US" w:eastAsia="zh-CN"/>
        </w:rPr>
        <w:t>（7）项目位于公共区域内，乙方施工、调试期间，须采取有效的成品保护措施，如因乙方原因造成现场成品损坏的，乙方须无条件维修、恢复至原样，否则，甲方直接拒绝付款。</w:t>
      </w:r>
    </w:p>
    <w:p>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Times New Roman" w:hAnsi="Times New Roman" w:eastAsia="宋体" w:cs="Times New Roman"/>
          <w:b w:val="0"/>
          <w:color w:val="auto"/>
          <w:sz w:val="24"/>
          <w:highlight w:val="none"/>
          <w:lang w:val="en-US" w:eastAsia="zh-CN"/>
        </w:rPr>
      </w:pPr>
      <w:r>
        <w:rPr>
          <w:rFonts w:hint="eastAsia" w:ascii="Times New Roman" w:hAnsi="Times New Roman" w:eastAsia="宋体" w:cs="Times New Roman"/>
          <w:b w:val="0"/>
          <w:color w:val="auto"/>
          <w:sz w:val="24"/>
          <w:highlight w:val="none"/>
          <w:lang w:val="en-US" w:eastAsia="zh-CN"/>
        </w:rPr>
        <w:t>（8）项目内接待较多，乙方须无条件配合甲方及其他相关单位组织的接待活动，如因此类接待等非乙方原因导致项目施工安装进度滞后的，经甲方书面确认后，工期可予以相应顺延。</w:t>
      </w:r>
    </w:p>
    <w:p>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Times New Roman" w:hAnsi="Times New Roman" w:eastAsia="宋体" w:cs="Times New Roman"/>
          <w:b w:val="0"/>
          <w:color w:val="auto"/>
          <w:sz w:val="24"/>
          <w:highlight w:val="none"/>
          <w:lang w:val="en-US" w:eastAsia="zh-CN"/>
        </w:rPr>
      </w:pPr>
      <w:r>
        <w:rPr>
          <w:rFonts w:hint="eastAsia" w:ascii="Times New Roman" w:hAnsi="Times New Roman" w:eastAsia="宋体" w:cs="Times New Roman"/>
          <w:b w:val="0"/>
          <w:color w:val="auto"/>
          <w:sz w:val="24"/>
          <w:highlight w:val="none"/>
          <w:lang w:val="en-US" w:eastAsia="zh-CN"/>
        </w:rPr>
        <w:t>（9）乙方须无条件做好现场安全文明施工，包含但不限于用电安全、消防安全、登高作业安全、施工区域的全封闭、必要的施工告知牌、临时导视牌等，同时，须做到“工完料尽场地清”，施工垃圾不得在施工区域以外的其他任何区域堆放。</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b w:val="0"/>
          <w:color w:val="auto"/>
          <w:sz w:val="24"/>
          <w:highlight w:val="none"/>
          <w:lang w:val="en-US" w:eastAsia="zh-CN"/>
        </w:rPr>
        <w:t>（10）竣工验收前，乙方须对现场进行精细化保洁，由此产生的一切费用均包含在投标报价中，由中标人自行承担。</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第六条  竣工验收及保修事宜</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val="en-US" w:eastAsia="zh-CN"/>
        </w:rPr>
        <w:t>6.1</w:t>
      </w:r>
      <w:r>
        <w:rPr>
          <w:rFonts w:hint="default" w:ascii="Times New Roman" w:hAnsi="Times New Roman" w:eastAsia="宋体" w:cs="Times New Roman"/>
          <w:b w:val="0"/>
          <w:bCs w:val="0"/>
          <w:color w:val="auto"/>
          <w:sz w:val="24"/>
          <w:szCs w:val="24"/>
          <w:highlight w:val="none"/>
        </w:rPr>
        <w:t>乙方完工后向甲方提请验收，甲方签字同意，即为验收合格。对于甲方在验收中提出的问题，乙方应积极按照甲方的要求组织整改，保证工程质量。</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val="en-US" w:eastAsia="zh-CN"/>
        </w:rPr>
        <w:t>6.2</w:t>
      </w:r>
      <w:r>
        <w:rPr>
          <w:rFonts w:hint="default" w:ascii="Times New Roman" w:hAnsi="Times New Roman" w:eastAsia="宋体" w:cs="Times New Roman"/>
          <w:b w:val="0"/>
          <w:bCs w:val="0"/>
          <w:color w:val="auto"/>
          <w:sz w:val="24"/>
          <w:szCs w:val="24"/>
          <w:highlight w:val="none"/>
        </w:rPr>
        <w:t>本项目</w:t>
      </w:r>
      <w:r>
        <w:rPr>
          <w:rFonts w:hint="eastAsia" w:eastAsia="宋体" w:cs="Times New Roman"/>
          <w:b w:val="0"/>
          <w:bCs w:val="0"/>
          <w:color w:val="auto"/>
          <w:sz w:val="24"/>
          <w:szCs w:val="24"/>
          <w:highlight w:val="none"/>
          <w:lang w:val="en-US" w:eastAsia="zh-CN"/>
        </w:rPr>
        <w:t>质保期</w:t>
      </w:r>
      <w:r>
        <w:rPr>
          <w:rFonts w:hint="default" w:ascii="Times New Roman" w:hAnsi="Times New Roman" w:eastAsia="宋体" w:cs="Times New Roman"/>
          <w:b w:val="0"/>
          <w:bCs w:val="0"/>
          <w:color w:val="auto"/>
          <w:sz w:val="24"/>
          <w:szCs w:val="24"/>
          <w:highlight w:val="none"/>
        </w:rPr>
        <w:t>为</w:t>
      </w:r>
      <w:r>
        <w:rPr>
          <w:rFonts w:hint="eastAsia" w:cs="Times New Roman"/>
          <w:b w:val="0"/>
          <w:bCs w:val="0"/>
          <w:color w:val="auto"/>
          <w:sz w:val="24"/>
          <w:szCs w:val="24"/>
          <w:highlight w:val="none"/>
          <w:lang w:val="en-US" w:eastAsia="zh-CN"/>
        </w:rPr>
        <w:t>12</w:t>
      </w:r>
      <w:r>
        <w:rPr>
          <w:rFonts w:hint="default" w:ascii="Times New Roman" w:hAnsi="Times New Roman" w:eastAsia="宋体" w:cs="Times New Roman"/>
          <w:b w:val="0"/>
          <w:bCs w:val="0"/>
          <w:color w:val="auto"/>
          <w:sz w:val="24"/>
          <w:szCs w:val="24"/>
          <w:highlight w:val="none"/>
        </w:rPr>
        <w:t>个月，自甲方验收合格之日起计算。乙方在接到甲方的保修通知时，应于接到通知后24小时内派工程师到达现场，提出维修方案并按照甲方要求的时间组织维修。</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第</w:t>
      </w:r>
      <w:r>
        <w:rPr>
          <w:rFonts w:hint="default" w:ascii="Times New Roman" w:hAnsi="Times New Roman" w:cs="Times New Roman"/>
          <w:b/>
          <w:bCs/>
          <w:color w:val="auto"/>
          <w:sz w:val="24"/>
          <w:szCs w:val="24"/>
          <w:highlight w:val="none"/>
          <w:lang w:val="en-US" w:eastAsia="zh-CN"/>
        </w:rPr>
        <w:t>七</w:t>
      </w:r>
      <w:r>
        <w:rPr>
          <w:rFonts w:hint="default" w:ascii="Times New Roman" w:hAnsi="Times New Roman" w:eastAsia="宋体" w:cs="Times New Roman"/>
          <w:b/>
          <w:bCs/>
          <w:color w:val="auto"/>
          <w:sz w:val="24"/>
          <w:szCs w:val="24"/>
          <w:highlight w:val="none"/>
        </w:rPr>
        <w:t>条</w:t>
      </w:r>
      <w:r>
        <w:rPr>
          <w:rFonts w:hint="default" w:ascii="Times New Roman" w:hAnsi="Times New Roman"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rPr>
        <w:t>违约责任</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val="en-US" w:eastAsia="zh-CN"/>
        </w:rPr>
        <w:t>7.1</w:t>
      </w:r>
      <w:r>
        <w:rPr>
          <w:rFonts w:hint="default" w:ascii="Times New Roman" w:hAnsi="Times New Roman" w:eastAsia="宋体" w:cs="Times New Roman"/>
          <w:color w:val="auto"/>
          <w:sz w:val="24"/>
          <w:szCs w:val="24"/>
          <w:highlight w:val="none"/>
        </w:rPr>
        <w:t>乙方不能如期</w:t>
      </w:r>
      <w:r>
        <w:rPr>
          <w:rFonts w:hint="eastAsia" w:cs="Times New Roman"/>
          <w:color w:val="auto"/>
          <w:sz w:val="24"/>
          <w:szCs w:val="24"/>
          <w:highlight w:val="none"/>
          <w:lang w:val="en-US" w:eastAsia="zh-CN"/>
        </w:rPr>
        <w:t>完成施工移交</w:t>
      </w:r>
      <w:r>
        <w:rPr>
          <w:rFonts w:hint="default" w:ascii="Times New Roman" w:hAnsi="Times New Roman" w:eastAsia="宋体" w:cs="Times New Roman"/>
          <w:color w:val="auto"/>
          <w:sz w:val="24"/>
          <w:szCs w:val="24"/>
          <w:highlight w:val="none"/>
        </w:rPr>
        <w:t>，每逾期一日应承担合同总金额百分之三违约金，并承担由此给甲方造成的全部经济损失。逾期超过7日的，甲方有权解除合同，乙方应支付合同价款30%的违约金。</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val="en-US" w:eastAsia="zh-CN"/>
        </w:rPr>
        <w:t>7.2</w:t>
      </w:r>
      <w:r>
        <w:rPr>
          <w:rFonts w:hint="default" w:ascii="Times New Roman" w:hAnsi="Times New Roman" w:eastAsia="宋体" w:cs="Times New Roman"/>
          <w:color w:val="auto"/>
          <w:sz w:val="24"/>
          <w:szCs w:val="24"/>
          <w:highlight w:val="none"/>
        </w:rPr>
        <w:t>完工后，由乙方提出书面通知甲方验收。验收标准以本合同附件相关约定及行业规范为准。验收不合格的，乙方应当返工，工期延误的，按照前款承担违约责任。</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cs="Times New Roman"/>
          <w:b/>
          <w:bCs/>
          <w:color w:val="auto"/>
          <w:sz w:val="24"/>
          <w:szCs w:val="24"/>
          <w:highlight w:val="none"/>
          <w:lang w:val="en-US" w:eastAsia="zh-CN"/>
        </w:rPr>
        <w:t>第八条</w:t>
      </w:r>
      <w:r>
        <w:rPr>
          <w:rFonts w:hint="default" w:ascii="Times New Roman" w:hAnsi="Times New Roman" w:eastAsia="宋体" w:cs="Times New Roman"/>
          <w:b/>
          <w:bCs/>
          <w:color w:val="auto"/>
          <w:sz w:val="24"/>
          <w:szCs w:val="24"/>
          <w:highlight w:val="none"/>
        </w:rPr>
        <w:t xml:space="preserve">  第三者责任</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在本项目制作、施工及保修期内，如有任何第三者的人身或财产受到损害，乙方都负有处理及解决的责任，并承担一切经济损失，甲方不负任何责任。</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rPr>
      </w:pPr>
      <w:r>
        <w:rPr>
          <w:rFonts w:hint="default" w:ascii="Times New Roman" w:hAnsi="Times New Roman" w:eastAsia="宋体" w:cs="Times New Roman"/>
          <w:b/>
          <w:bCs/>
          <w:color w:val="auto"/>
          <w:sz w:val="24"/>
          <w:szCs w:val="24"/>
          <w:highlight w:val="none"/>
        </w:rPr>
        <w:t>第</w:t>
      </w:r>
      <w:r>
        <w:rPr>
          <w:rFonts w:hint="default" w:ascii="Times New Roman" w:hAnsi="Times New Roman" w:eastAsia="宋体" w:cs="Times New Roman"/>
          <w:b/>
          <w:bCs/>
          <w:color w:val="auto"/>
          <w:sz w:val="24"/>
          <w:szCs w:val="24"/>
          <w:highlight w:val="none"/>
          <w:lang w:val="en-US" w:eastAsia="zh-CN"/>
        </w:rPr>
        <w:t>九</w:t>
      </w:r>
      <w:r>
        <w:rPr>
          <w:rFonts w:hint="default" w:ascii="Times New Roman" w:hAnsi="Times New Roman" w:eastAsia="宋体" w:cs="Times New Roman"/>
          <w:b/>
          <w:bCs/>
          <w:color w:val="auto"/>
          <w:sz w:val="24"/>
          <w:szCs w:val="24"/>
          <w:highlight w:val="none"/>
        </w:rPr>
        <w:t xml:space="preserve">条 </w:t>
      </w:r>
      <w:r>
        <w:rPr>
          <w:rFonts w:hint="default" w:ascii="Times New Roman" w:hAnsi="Times New Roman" w:cs="Times New Roman"/>
          <w:b/>
          <w:bCs/>
          <w:color w:val="auto"/>
          <w:sz w:val="24"/>
          <w:szCs w:val="24"/>
          <w:highlight w:val="none"/>
          <w:lang w:val="en-US" w:eastAsia="zh-CN"/>
        </w:rPr>
        <w:t xml:space="preserve"> 保密条款</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甲方提供的商业资料仅限于本合同范围内使用，未经甲方书面同意乙方不得随意使用，不得向第三方及公众泄露，由此而造成的损失由乙方全部承担。</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第</w:t>
      </w:r>
      <w:r>
        <w:rPr>
          <w:rFonts w:hint="default" w:ascii="Times New Roman" w:hAnsi="Times New Roman" w:cs="Times New Roman"/>
          <w:b/>
          <w:bCs/>
          <w:color w:val="auto"/>
          <w:sz w:val="24"/>
          <w:szCs w:val="24"/>
          <w:highlight w:val="none"/>
          <w:lang w:val="en-US" w:eastAsia="zh-CN"/>
        </w:rPr>
        <w:t>十</w:t>
      </w:r>
      <w:r>
        <w:rPr>
          <w:rFonts w:hint="default" w:ascii="Times New Roman" w:hAnsi="Times New Roman" w:eastAsia="宋体" w:cs="Times New Roman"/>
          <w:b/>
          <w:bCs/>
          <w:color w:val="auto"/>
          <w:sz w:val="24"/>
          <w:szCs w:val="24"/>
          <w:highlight w:val="none"/>
        </w:rPr>
        <w:t xml:space="preserve">条 </w:t>
      </w:r>
      <w:r>
        <w:rPr>
          <w:rFonts w:hint="default" w:ascii="Times New Roman" w:hAnsi="Times New Roman"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rPr>
        <w:t>其它</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val="en-US" w:eastAsia="zh-CN"/>
        </w:rPr>
        <w:t>10.1</w:t>
      </w:r>
      <w:r>
        <w:rPr>
          <w:rFonts w:hint="default" w:ascii="Times New Roman" w:hAnsi="Times New Roman" w:eastAsia="宋体" w:cs="Times New Roman"/>
          <w:color w:val="auto"/>
          <w:sz w:val="24"/>
          <w:szCs w:val="24"/>
          <w:highlight w:val="none"/>
        </w:rPr>
        <w:t>合同执行中甲、乙双方发生争议，可由双方协商解决，协商不成，则向甲方所在地法院提起诉讼解决双方争议。</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val="en-US" w:eastAsia="zh-CN"/>
        </w:rPr>
        <w:t>10.2</w:t>
      </w:r>
      <w:r>
        <w:rPr>
          <w:rFonts w:hint="default" w:ascii="Times New Roman" w:hAnsi="Times New Roman" w:eastAsia="宋体" w:cs="Times New Roman"/>
          <w:color w:val="auto"/>
          <w:sz w:val="24"/>
          <w:szCs w:val="24"/>
          <w:highlight w:val="none"/>
        </w:rPr>
        <w:t>本合同项下甲、乙双方互送通知的方法须以书面形式发出（除本合同另有明确约定以外，涉及各方权利或义务的通知不应以电子邮件形式发送），按照本条所述地址送达。以电报、电挂、传真等数据电文发出的，在确认该等通知已被成功地发出时即视为送达；以邮寄形式发出的，在该信函投邮后第三日即视为送达；以专人送递的，则一经实际签收即视为送达。本合同所列的地址及联系电话如有变化，应及时以书面形式通知另一方。</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val="en-US" w:eastAsia="zh-CN"/>
        </w:rPr>
        <w:t>10.3</w:t>
      </w:r>
      <w:r>
        <w:rPr>
          <w:rFonts w:hint="default" w:ascii="Times New Roman" w:hAnsi="Times New Roman" w:eastAsia="宋体" w:cs="Times New Roman"/>
          <w:color w:val="auto"/>
          <w:sz w:val="24"/>
          <w:szCs w:val="24"/>
          <w:highlight w:val="none"/>
        </w:rPr>
        <w:t>对本合同的任何修改均须以书面形式进行，并经本合同双方盖章之日起生效，本合同中未经修改的其他条款仍然有效。</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val="en-US" w:eastAsia="zh-CN"/>
        </w:rPr>
        <w:t>10.4</w:t>
      </w:r>
      <w:r>
        <w:rPr>
          <w:rFonts w:hint="default" w:ascii="Times New Roman" w:hAnsi="Times New Roman" w:eastAsia="宋体" w:cs="Times New Roman"/>
          <w:color w:val="auto"/>
          <w:sz w:val="24"/>
          <w:szCs w:val="24"/>
          <w:highlight w:val="none"/>
        </w:rPr>
        <w:t>本合同一式肆份，甲方</w:t>
      </w:r>
      <w:r>
        <w:rPr>
          <w:rFonts w:hint="eastAsia" w:cs="Times New Roman"/>
          <w:color w:val="auto"/>
          <w:sz w:val="24"/>
          <w:szCs w:val="24"/>
          <w:highlight w:val="none"/>
          <w:lang w:val="en-US" w:eastAsia="zh-CN"/>
        </w:rPr>
        <w:t>贰</w:t>
      </w:r>
      <w:r>
        <w:rPr>
          <w:rFonts w:hint="default" w:ascii="Times New Roman" w:hAnsi="Times New Roman" w:eastAsia="宋体" w:cs="Times New Roman"/>
          <w:color w:val="auto"/>
          <w:sz w:val="24"/>
          <w:szCs w:val="24"/>
          <w:highlight w:val="none"/>
        </w:rPr>
        <w:t>份、乙方</w:t>
      </w:r>
      <w:r>
        <w:rPr>
          <w:rFonts w:hint="eastAsia" w:cs="Times New Roman"/>
          <w:color w:val="auto"/>
          <w:sz w:val="24"/>
          <w:szCs w:val="24"/>
          <w:highlight w:val="none"/>
          <w:lang w:val="en-US" w:eastAsia="zh-CN"/>
        </w:rPr>
        <w:t>贰</w:t>
      </w:r>
      <w:r>
        <w:rPr>
          <w:rFonts w:hint="default" w:ascii="Times New Roman" w:hAnsi="Times New Roman" w:eastAsia="宋体" w:cs="Times New Roman"/>
          <w:color w:val="auto"/>
          <w:sz w:val="24"/>
          <w:szCs w:val="24"/>
          <w:highlight w:val="none"/>
        </w:rPr>
        <w:t>份。</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val="en-US" w:eastAsia="zh-CN"/>
        </w:rPr>
        <w:t>10.5</w:t>
      </w:r>
      <w:r>
        <w:rPr>
          <w:rFonts w:hint="default" w:ascii="Times New Roman" w:hAnsi="Times New Roman" w:eastAsia="宋体" w:cs="Times New Roman"/>
          <w:color w:val="auto"/>
          <w:sz w:val="24"/>
          <w:szCs w:val="24"/>
          <w:highlight w:val="none"/>
        </w:rPr>
        <w:t>本合同附件为合同的有效组成部分，与合同具有同等法律效力。</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val="en-US" w:eastAsia="zh-CN"/>
        </w:rPr>
        <w:t>10.6</w:t>
      </w:r>
      <w:r>
        <w:rPr>
          <w:rFonts w:hint="default" w:ascii="Times New Roman" w:hAnsi="Times New Roman" w:eastAsia="宋体" w:cs="Times New Roman"/>
          <w:color w:val="auto"/>
          <w:sz w:val="24"/>
          <w:szCs w:val="24"/>
          <w:highlight w:val="none"/>
        </w:rPr>
        <w:t>本合同自甲、乙双方盖章之日起生效，未尽事宜，双方协商一致可以签订补充协议。本合同内容超过一页的需加盖骑缝章。</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（以下无正文）</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auto"/>
          <w:sz w:val="24"/>
          <w:szCs w:val="24"/>
          <w:highlight w:val="none"/>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甲方（盖章）：</w:t>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 xml:space="preserve">   乙方（盖章）：</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textAlignment w:val="auto"/>
        <w:rPr>
          <w:rFonts w:hint="default" w:ascii="Times New Roman" w:hAnsi="Times New Roman" w:eastAsia="宋体" w:cs="Times New Roman"/>
          <w:b/>
          <w:bCs/>
          <w:color w:val="auto"/>
          <w:sz w:val="24"/>
          <w:szCs w:val="24"/>
          <w:highlight w:val="none"/>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法定代表人或授权代表（签字）：</w:t>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 xml:space="preserve">     法定代表人或授权代表（签字）：</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textAlignment w:val="auto"/>
        <w:rPr>
          <w:rFonts w:hint="default" w:ascii="Times New Roman" w:hAnsi="Times New Roman" w:eastAsia="宋体" w:cs="Times New Roman"/>
          <w:b/>
          <w:bCs/>
          <w:color w:val="auto"/>
          <w:sz w:val="24"/>
          <w:szCs w:val="24"/>
          <w:highlight w:val="none"/>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日期：</w:t>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t xml:space="preserve">      日期：</w:t>
      </w:r>
    </w:p>
    <w:p>
      <w:pPr>
        <w:pStyle w:val="5"/>
        <w:numPr>
          <w:ilvl w:val="0"/>
          <w:numId w:val="0"/>
        </w:numPr>
        <w:rPr>
          <w:rFonts w:hint="eastAsia"/>
          <w:lang w:val="en-US" w:eastAsia="zh-CN"/>
        </w:rPr>
      </w:pPr>
    </w:p>
    <w:p>
      <w:pPr>
        <w:keepNext w:val="0"/>
        <w:keepLines w:val="0"/>
        <w:widowControl w:val="0"/>
        <w:suppressLineNumbers w:val="0"/>
        <w:spacing w:before="0" w:beforeAutospacing="0" w:after="0" w:afterAutospacing="0" w:line="960" w:lineRule="exact"/>
        <w:ind w:left="0" w:right="0"/>
        <w:jc w:val="both"/>
        <w:rPr>
          <w:rFonts w:hint="default" w:ascii="Times New Roman" w:hAnsi="Times New Roman" w:eastAsia="宋体" w:cs="Times New Roman"/>
          <w:color w:val="auto"/>
          <w:kern w:val="2"/>
          <w:sz w:val="24"/>
          <w:szCs w:val="24"/>
          <w:lang w:val="en-US" w:eastAsia="zh-CN" w:bidi="ar"/>
        </w:rPr>
      </w:pPr>
    </w:p>
    <w:p>
      <w:pPr>
        <w:keepNext w:val="0"/>
        <w:keepLines w:val="0"/>
        <w:widowControl w:val="0"/>
        <w:suppressLineNumbers w:val="0"/>
        <w:spacing w:before="0" w:beforeAutospacing="0" w:after="0" w:afterAutospacing="0" w:line="960" w:lineRule="exact"/>
        <w:ind w:left="0" w:right="0"/>
        <w:jc w:val="both"/>
        <w:rPr>
          <w:rFonts w:hint="default" w:ascii="Times New Roman" w:hAnsi="Times New Roman" w:eastAsia="宋体" w:cs="Times New Roman"/>
          <w:color w:val="auto"/>
          <w:kern w:val="2"/>
          <w:sz w:val="24"/>
          <w:szCs w:val="24"/>
          <w:lang w:val="en-US" w:eastAsia="zh-CN" w:bidi="ar"/>
        </w:rPr>
      </w:pPr>
    </w:p>
    <w:p>
      <w:pPr>
        <w:keepNext w:val="0"/>
        <w:keepLines w:val="0"/>
        <w:widowControl w:val="0"/>
        <w:suppressLineNumbers w:val="0"/>
        <w:spacing w:before="0" w:beforeAutospacing="0" w:after="0" w:afterAutospacing="0" w:line="560" w:lineRule="exact"/>
        <w:ind w:left="0" w:right="0"/>
        <w:jc w:val="left"/>
        <w:rPr>
          <w:rFonts w:hint="default" w:ascii="Times New Roman" w:hAnsi="Times New Roman" w:eastAsia="宋体" w:cs="Times New Roman"/>
          <w:b w:val="0"/>
          <w:bCs/>
          <w:color w:val="auto"/>
          <w:kern w:val="2"/>
          <w:sz w:val="22"/>
          <w:szCs w:val="22"/>
          <w:lang w:val="en-US" w:eastAsia="zh-CN" w:bidi="ar"/>
        </w:rPr>
      </w:pPr>
      <w:r>
        <w:rPr>
          <w:rFonts w:hint="eastAsia" w:ascii="Times New Roman" w:hAnsi="Times New Roman" w:eastAsia="宋体" w:cs="Times New Roman"/>
          <w:b w:val="0"/>
          <w:bCs/>
          <w:color w:val="auto"/>
          <w:kern w:val="2"/>
          <w:sz w:val="22"/>
          <w:szCs w:val="22"/>
          <w:lang w:val="en-US" w:eastAsia="zh-CN" w:bidi="ar"/>
        </w:rPr>
        <w:t>附件1：</w:t>
      </w:r>
    </w:p>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宋体" w:cs="Times New Roman"/>
          <w:b/>
          <w:bCs w:val="0"/>
          <w:color w:val="auto"/>
          <w:kern w:val="2"/>
          <w:sz w:val="36"/>
          <w:szCs w:val="36"/>
          <w:lang w:val="en-US" w:eastAsia="zh-CN" w:bidi="ar"/>
        </w:rPr>
      </w:pPr>
      <w:r>
        <w:rPr>
          <w:rFonts w:hint="default" w:ascii="Times New Roman" w:hAnsi="Times New Roman" w:eastAsia="宋体" w:cs="Times New Roman"/>
          <w:b/>
          <w:bCs w:val="0"/>
          <w:color w:val="auto"/>
          <w:kern w:val="2"/>
          <w:sz w:val="36"/>
          <w:szCs w:val="36"/>
          <w:lang w:val="en-US" w:eastAsia="zh-CN" w:bidi="ar"/>
        </w:rPr>
        <w:t>廉政协议</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宋体" w:cs="Times New Roman"/>
          <w:color w:val="auto"/>
          <w:sz w:val="32"/>
          <w:szCs w:val="32"/>
          <w:lang w:val="en-US"/>
        </w:rPr>
      </w:pP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为抓好采购供应中的党风廉政建设，规范、约束双方行为，确保双方工作人员廉洁从业，特订立如下合同。</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1.甲乙双方的权利和义务</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（1）严格遵守党的政策和国家有关法律法规的有关规定。</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（2）严格执行</w:t>
      </w:r>
      <w:r>
        <w:rPr>
          <w:rFonts w:hint="default" w:ascii="Times New Roman" w:hAnsi="Times New Roman" w:eastAsia="宋体" w:cs="Times New Roman"/>
          <w:color w:val="auto"/>
          <w:kern w:val="2"/>
          <w:sz w:val="24"/>
          <w:szCs w:val="24"/>
          <w:u w:val="single"/>
          <w:lang w:val="en-US" w:eastAsia="zh-CN" w:bidi="ar"/>
        </w:rPr>
        <w:t xml:space="preserve">          </w:t>
      </w:r>
      <w:r>
        <w:rPr>
          <w:rFonts w:hint="default" w:ascii="Times New Roman" w:hAnsi="Times New Roman" w:eastAsia="宋体" w:cs="Times New Roman"/>
          <w:color w:val="auto"/>
          <w:kern w:val="2"/>
          <w:sz w:val="24"/>
          <w:szCs w:val="24"/>
          <w:lang w:val="en-US" w:eastAsia="zh-CN" w:bidi="ar"/>
        </w:rPr>
        <w:t>（合同文件名称）合同文件，自觉按合同办事。</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（3）双方的业务活动坚持公开、公正、诚信、透明的原则（法律认定的商业秘密和合同文件另有规定除外），不得损害国家和集体利益。</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（4）建立健全廉政制度，开展廉政教育和廉洁文化建设，公布举报电话，监督并认真查处违规违纪违法行为。</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（5）发现对方在业务活动中有违反廉政规定的行为，有及时提醒对方纠正的权利和义务。</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（6）发现对方严重违反本合同义务条款的行为，有向有关部门举报、建议给予处理并要求告知处理结果的权利。</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2.甲方的义务</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（1）甲方及其工作人员不得利用职务之便索要或接受乙方的礼品、礼金、消费卡和有价证券、股权、其他金融产品等财物。</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（2）甲方及其工作人员不得在利用职务之便为乙方谋取利益之前或之后，约定在其离职后收受乙方财物，并在离职后收受。</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（3）甲方及其工作人员不得在乙方报销应由甲方或个人支付的费用等。</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（4）甲方及其工作人员不得要求或者接受乙方可能影响公正执行公务的宴请以及旅游、健身、娱乐等活动安排，不得要求和接受乙方提供的交通工具、通讯工具、高档办公用品等。</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 xml:space="preserve">（6）甲方及其工作人员不得要求乙方购买合同规定外的材料和设备采购、服务等。    </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（7）甲方及其工作人员不得有其他可能影响廉洁从业的行为。</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3.乙方义务</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（1）乙方及其工作人员不得以任何形式向甲方及其工作人员行贿或馈赠礼品、礼金、消费卡和有价证券、股权、其他金融产品等财物，以及回扣、好处费、感谢费等。</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（2）乙方及其工作人员不得与甲方及其工作人员约定，甲方及其工作人员利用职务之便为乙方谋取利益，乙方在其离职后给予财物。</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（3）乙方不得以任何名义为甲方及其工作人员报销由甲方单位或个人支付的任何费用。</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（4）乙方及其工作人员不得以任何理由邀请甲方工作人员参与可能影响公正执行公务的宴请以及旅游、健身、娱乐等活动。不得为甲方单位和个人购置或提供通讯工具、交通工具和高档办公用品等。</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（5）乙方及其工作人员不得为甲方工作人员住房装修、婚丧嫁娶、出国出境、旅游等提供方便；不得为甲方工作人员的特定关系人以安排工作为名，使其不实际工作却获取薪酬。</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（6）甲方及其工作人员不得有其他可能影响廉洁从业的行为。</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4.违约责任</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（1）甲方及其工作人员违反本合同第1、2条，按管理权限，依据有关规定给予党纪政务处分和组织处理；涉嫌犯罪的，移交司法机关追究刑事责任；给乙方单位造成经济损失的，应予以赔偿。</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（2）乙方及其工作人员违反本合同第1、3条，按管理权限，依据有关规定，给予相关处理；给甲方单位造成经济损失的，应予以赔偿。</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5.本合同有效期为甲乙双方签署之日起至该供货/服务合同履行完毕后止。</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6.本合同作为</w:t>
      </w:r>
      <w:r>
        <w:rPr>
          <w:rFonts w:hint="default" w:ascii="Times New Roman" w:hAnsi="Times New Roman" w:eastAsia="宋体" w:cs="Times New Roman"/>
          <w:color w:val="auto"/>
          <w:kern w:val="2"/>
          <w:sz w:val="24"/>
          <w:szCs w:val="24"/>
          <w:u w:val="single"/>
          <w:lang w:val="en-US" w:eastAsia="zh-CN" w:bidi="ar"/>
        </w:rPr>
        <w:t xml:space="preserve">        </w:t>
      </w:r>
      <w:r>
        <w:rPr>
          <w:rFonts w:hint="default" w:ascii="Times New Roman" w:hAnsi="Times New Roman" w:eastAsia="宋体" w:cs="Times New Roman"/>
          <w:color w:val="auto"/>
          <w:kern w:val="2"/>
          <w:sz w:val="24"/>
          <w:szCs w:val="24"/>
          <w:lang w:val="en-US" w:eastAsia="zh-CN" w:bidi="ar"/>
        </w:rPr>
        <w:t>（合同文件名称）的附件，与其具有同等的法律效力，经合同双方签署立即生效。</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Times New Roman" w:hAnsi="Times New Roman" w:eastAsia="宋体" w:cs="Times New Roman"/>
          <w:color w:val="auto"/>
          <w:sz w:val="24"/>
          <w:szCs w:val="24"/>
          <w:lang w:val="en-US" w:bidi="ar"/>
        </w:rPr>
      </w:pPr>
      <w:r>
        <w:rPr>
          <w:rFonts w:hint="default" w:ascii="Times New Roman" w:hAnsi="Times New Roman" w:eastAsia="宋体" w:cs="Times New Roman"/>
          <w:color w:val="auto"/>
          <w:kern w:val="2"/>
          <w:sz w:val="24"/>
          <w:szCs w:val="24"/>
          <w:lang w:val="en-US" w:eastAsia="zh-CN" w:bidi="ar"/>
        </w:rPr>
        <w:t>7.本合同一式</w:t>
      </w:r>
      <w:r>
        <w:rPr>
          <w:rFonts w:hint="default" w:ascii="Times New Roman" w:hAnsi="Times New Roman" w:eastAsia="宋体" w:cs="Times New Roman"/>
          <w:color w:val="auto"/>
          <w:kern w:val="2"/>
          <w:sz w:val="24"/>
          <w:szCs w:val="24"/>
          <w:u w:val="single"/>
          <w:lang w:val="en-US" w:eastAsia="zh-CN" w:bidi="ar"/>
        </w:rPr>
        <w:t xml:space="preserve">    </w:t>
      </w:r>
      <w:r>
        <w:rPr>
          <w:rFonts w:hint="default" w:ascii="Times New Roman" w:hAnsi="Times New Roman" w:eastAsia="宋体" w:cs="Times New Roman"/>
          <w:color w:val="auto"/>
          <w:kern w:val="2"/>
          <w:sz w:val="24"/>
          <w:szCs w:val="24"/>
          <w:lang w:val="en-US" w:eastAsia="zh-CN" w:bidi="ar"/>
        </w:rPr>
        <w:t>份，由甲、乙双方各执</w:t>
      </w:r>
      <w:r>
        <w:rPr>
          <w:rFonts w:hint="default" w:ascii="Times New Roman" w:hAnsi="Times New Roman" w:eastAsia="宋体" w:cs="Times New Roman"/>
          <w:color w:val="auto"/>
          <w:kern w:val="2"/>
          <w:sz w:val="24"/>
          <w:szCs w:val="24"/>
          <w:u w:val="single"/>
          <w:lang w:val="en-US" w:eastAsia="zh-CN" w:bidi="ar"/>
        </w:rPr>
        <w:t xml:space="preserve">    </w:t>
      </w:r>
      <w:r>
        <w:rPr>
          <w:rFonts w:hint="default" w:ascii="Times New Roman" w:hAnsi="Times New Roman" w:eastAsia="宋体" w:cs="Times New Roman"/>
          <w:color w:val="auto"/>
          <w:kern w:val="2"/>
          <w:sz w:val="24"/>
          <w:szCs w:val="24"/>
          <w:lang w:val="en-US" w:eastAsia="zh-CN" w:bidi="ar"/>
        </w:rPr>
        <w:t>份，送交双方监督单位各</w:t>
      </w:r>
      <w:r>
        <w:rPr>
          <w:rFonts w:hint="default" w:ascii="Times New Roman" w:hAnsi="Times New Roman" w:eastAsia="宋体" w:cs="Times New Roman"/>
          <w:color w:val="auto"/>
          <w:kern w:val="2"/>
          <w:sz w:val="24"/>
          <w:szCs w:val="24"/>
          <w:u w:val="single"/>
          <w:lang w:val="en-US" w:eastAsia="zh-CN" w:bidi="ar"/>
        </w:rPr>
        <w:t xml:space="preserve">    </w:t>
      </w:r>
      <w:r>
        <w:rPr>
          <w:rFonts w:hint="default" w:ascii="Times New Roman" w:hAnsi="Times New Roman" w:eastAsia="宋体" w:cs="Times New Roman"/>
          <w:color w:val="auto"/>
          <w:kern w:val="2"/>
          <w:sz w:val="24"/>
          <w:szCs w:val="24"/>
          <w:lang w:val="en-US" w:eastAsia="zh-CN" w:bidi="ar"/>
        </w:rPr>
        <w:t>份。</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宋体" w:cs="Times New Roman"/>
          <w:color w:val="auto"/>
          <w:sz w:val="24"/>
          <w:szCs w:val="24"/>
          <w:lang w:val="en-US" w:bidi="ar"/>
        </w:rPr>
      </w:pP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宋体" w:cs="Times New Roman"/>
          <w:color w:val="auto"/>
          <w:sz w:val="24"/>
          <w:szCs w:val="24"/>
          <w:lang w:val="en-US" w:bidi="ar"/>
        </w:rPr>
      </w:pP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甲方单位：（盖章）               乙方单位：（盖章）</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法定代表人：                    法定代表人：</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或                              或</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宋体" w:cs="Times New Roman"/>
          <w:color w:val="auto"/>
          <w:kern w:val="2"/>
          <w:sz w:val="24"/>
          <w:szCs w:val="24"/>
          <w:lang w:val="en-US" w:eastAsia="zh-CN" w:bidi="ar"/>
        </w:rPr>
      </w:pPr>
      <w:r>
        <w:rPr>
          <w:rFonts w:hint="default" w:ascii="Times New Roman" w:hAnsi="Times New Roman" w:eastAsia="宋体" w:cs="Times New Roman"/>
          <w:color w:val="auto"/>
          <w:kern w:val="2"/>
          <w:sz w:val="24"/>
          <w:szCs w:val="24"/>
          <w:lang w:val="en-US" w:eastAsia="zh-CN" w:bidi="ar"/>
        </w:rPr>
        <w:t xml:space="preserve">其授权的代理人：                其授权的代理人：          </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年   月   日                    年   月   日</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甲方监督单位：（盖章）            乙方监督单位：（盖章）</w:t>
      </w:r>
    </w:p>
    <w:p>
      <w:pPr>
        <w:pStyle w:val="5"/>
        <w:rPr>
          <w:rFonts w:hint="default"/>
          <w:lang w:val="en-US" w:eastAsia="zh-CN"/>
        </w:rPr>
      </w:pPr>
    </w:p>
    <w:p>
      <w:pPr>
        <w:rPr>
          <w:rFonts w:hint="default"/>
          <w:lang w:val="en-US" w:eastAsia="zh-CN"/>
        </w:rPr>
      </w:pPr>
    </w:p>
    <w:p>
      <w:pPr>
        <w:pStyle w:val="5"/>
        <w:numPr>
          <w:ilvl w:val="0"/>
          <w:numId w:val="0"/>
        </w:numPr>
        <w:ind w:left="0" w:leftChars="0" w:firstLine="0" w:firstLineChars="0"/>
        <w:jc w:val="center"/>
        <w:rPr>
          <w:rFonts w:hint="eastAsia" w:ascii="宋体" w:hAnsi="宋体" w:eastAsia="宋体" w:cs="宋体"/>
          <w:b/>
          <w:bCs/>
          <w:color w:val="000000"/>
          <w:sz w:val="28"/>
          <w:szCs w:val="28"/>
        </w:rPr>
      </w:pPr>
      <w:bookmarkStart w:id="30" w:name="_Toc130919123"/>
      <w:r>
        <w:rPr>
          <w:rFonts w:hint="eastAsia" w:ascii="宋体" w:hAnsi="宋体" w:eastAsia="宋体" w:cs="宋体"/>
          <w:b/>
          <w:bCs/>
          <w:color w:val="000000"/>
          <w:kern w:val="20"/>
          <w:sz w:val="28"/>
          <w:szCs w:val="28"/>
          <w:lang w:val="en-US" w:eastAsia="zh-CN" w:bidi="ar-SA"/>
        </w:rPr>
        <w:t>第五章</w:t>
      </w:r>
      <w:r>
        <w:rPr>
          <w:rFonts w:hint="eastAsia" w:ascii="宋体" w:hAnsi="宋体" w:eastAsia="宋体" w:cs="宋体"/>
          <w:b/>
          <w:bCs/>
          <w:color w:val="000000"/>
          <w:sz w:val="28"/>
          <w:szCs w:val="28"/>
        </w:rPr>
        <w:t xml:space="preserve"> 工程量清单</w:t>
      </w:r>
      <w:bookmarkEnd w:id="30"/>
    </w:p>
    <w:p>
      <w:pPr>
        <w:keepNext/>
        <w:keepLines/>
        <w:spacing w:before="240" w:beforeLines="100" w:after="240" w:afterLines="100"/>
        <w:outlineLvl w:val="1"/>
        <w:rPr>
          <w:rFonts w:ascii="Times New Roman" w:eastAsia="黑体"/>
          <w:color w:val="000000"/>
          <w:sz w:val="32"/>
          <w:szCs w:val="32"/>
        </w:rPr>
      </w:pPr>
      <w:bookmarkStart w:id="31" w:name="_Toc22767"/>
      <w:bookmarkStart w:id="32" w:name="_Toc130919124"/>
      <w:r>
        <w:rPr>
          <w:rFonts w:hint="eastAsia" w:ascii="Times New Roman" w:eastAsia="黑体"/>
          <w:color w:val="000000"/>
          <w:sz w:val="32"/>
          <w:szCs w:val="32"/>
        </w:rPr>
        <w:t>1. 计价依据</w:t>
      </w:r>
      <w:bookmarkEnd w:id="31"/>
      <w:bookmarkEnd w:id="32"/>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 计价依据的确定符合国家法律法规、现行有关标准与规范，工程所在地的省、市工程定额和工程造价的规定以及工程造价信息要求。</w:t>
      </w:r>
    </w:p>
    <w:p>
      <w:pPr>
        <w:keepNext/>
        <w:keepLines/>
        <w:spacing w:before="240" w:beforeLines="100" w:after="240" w:afterLines="100"/>
        <w:outlineLvl w:val="1"/>
        <w:rPr>
          <w:rFonts w:hint="eastAsia" w:ascii="Times New Roman" w:eastAsia="黑体"/>
          <w:color w:val="000000"/>
          <w:sz w:val="32"/>
          <w:szCs w:val="32"/>
        </w:rPr>
      </w:pPr>
      <w:bookmarkStart w:id="33" w:name="_Toc1265"/>
      <w:bookmarkStart w:id="34" w:name="_Toc130919125"/>
      <w:r>
        <w:rPr>
          <w:rFonts w:hint="eastAsia" w:ascii="Times New Roman" w:eastAsia="黑体"/>
          <w:color w:val="000000"/>
          <w:sz w:val="32"/>
          <w:szCs w:val="32"/>
        </w:rPr>
        <w:t>2. 工程造价确定</w:t>
      </w:r>
      <w:bookmarkEnd w:id="33"/>
      <w:bookmarkEnd w:id="34"/>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2.1 本项目采用工程量清单计价。</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2.2 除招标文件另有约定外，本项目计税采用增值税一般计税方法。</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2.3 建设工程造价由分部分项工程费、措施项目费、不可竞争费、其他项目费和税金构成。</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2.4 分部分项工程项目清单采用综合单价计价。综合单价是指完成一个规定计量单位的分部分项工程和措施清单项目所需的人工费、材料和工程设备费、施工机具使用费和综合费（企业管理费和利润）以及一定范围内的风险费用。</w:t>
      </w:r>
    </w:p>
    <w:p>
      <w:pPr>
        <w:keepNext/>
        <w:keepLines/>
        <w:spacing w:before="240" w:beforeLines="100" w:after="240" w:afterLines="100"/>
        <w:outlineLvl w:val="1"/>
        <w:rPr>
          <w:rFonts w:hint="eastAsia" w:ascii="Times New Roman" w:eastAsia="黑体"/>
          <w:color w:val="000000"/>
          <w:sz w:val="32"/>
          <w:szCs w:val="32"/>
        </w:rPr>
      </w:pPr>
      <w:bookmarkStart w:id="35" w:name="_Toc130919126"/>
      <w:bookmarkStart w:id="36" w:name="_Toc16638"/>
      <w:r>
        <w:rPr>
          <w:rFonts w:hint="eastAsia" w:ascii="Times New Roman" w:eastAsia="黑体"/>
          <w:color w:val="000000"/>
          <w:sz w:val="32"/>
          <w:szCs w:val="32"/>
        </w:rPr>
        <w:t>3. 招标工程量清单编制要求</w:t>
      </w:r>
      <w:bookmarkEnd w:id="35"/>
      <w:bookmarkEnd w:id="36"/>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3.1 招标工程量清单编制依据如下：</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（1）2018版安徽省建设工程计价依据（含修编版）及其部分修编内容、安徽省装配式建筑工程计价定额、安徽省房屋修缮工程计价定额、安徽省市政设施养护维修工程计价定额；</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（2）关于贯彻执行2018版安徽省建设工程计价依据的通知（合造价〔2018〕13号）；</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（3）关于调整合肥市建设工程计价依据增值税税率的通知（合造价〔2019〕1号）；</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（4）关于调整合肥市建设工程不可竞争费构成及计费标准的通知（合造价〔2021〕5号）；</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（5）建设工程设计文件及相关资料；</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（6）与建设项目有关的标准、规范、技术资料；</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（7）拟定的招标文件及其补充通知答疑纪要； </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（8）施工现场情况、地勘水文资料、工程特点及常规施工方案；</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（9）招标人对项目其他相关要求文件。</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3.2 招标工程量清单作为招标文件的组成部分，是编制最高投标限价、投标报价、计算工程量、调整合同价款、办理工程竣工结算以及工程索赔等的依据。</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3.3 投标人在投标报价过程中有责任和义务对招标人提供的工程量清单进行分析和核对，发现问题应按招标文件要求以书面形式告知招标人。</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3.4 工程量清单由分部分项工程量清单、措施项目清单、不可竞争项目清单、其他项目清单、税金项目清单组成。采用统一格式和表格，具体构成内容见“工程量清单”。</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3.5 分部分项工程量清单项目特征描述是结合本工程项目的实际情况予以描述的，对清单项目的技术和质量有要求的，见招标文件技术部分。措施项目清单中通用部分遵循计价规范编制，专业工程措施项目按规定和工程实际情况确定。</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3.6 招标工程量清单编制范围应与招标文件中明确的工程招标范围一致。工程量清单的组成内容应当完整、项目特征描述应准确全面，与施工图纸保持一致。</w:t>
      </w:r>
    </w:p>
    <w:p>
      <w:pPr>
        <w:keepNext/>
        <w:keepLines/>
        <w:spacing w:before="240" w:beforeLines="100" w:after="240" w:afterLines="100"/>
        <w:outlineLvl w:val="1"/>
        <w:rPr>
          <w:rFonts w:hint="eastAsia" w:ascii="Times New Roman" w:eastAsia="黑体"/>
          <w:color w:val="000000"/>
          <w:sz w:val="32"/>
          <w:szCs w:val="32"/>
        </w:rPr>
      </w:pPr>
      <w:bookmarkStart w:id="37" w:name="_Toc130919127"/>
      <w:bookmarkStart w:id="38" w:name="_Toc14024"/>
      <w:r>
        <w:rPr>
          <w:rFonts w:hint="eastAsia" w:ascii="Times New Roman" w:eastAsia="黑体"/>
          <w:color w:val="000000"/>
          <w:sz w:val="32"/>
          <w:szCs w:val="32"/>
        </w:rPr>
        <w:t>4. 最高投标限价编制要求</w:t>
      </w:r>
      <w:bookmarkEnd w:id="37"/>
      <w:bookmarkEnd w:id="38"/>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4.1 最高投标限价编制依据如下：</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（1）2018版安徽省建设工程计价依据（含修编版）及其部分修编内容、安徽省装配式建筑工程计价定额、安徽省房屋修缮工程计价定额、安徽省市政设施养护维修工程计价定额；</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（2）关于贯彻执行2018版安徽省建设工程计价依据的通知（合造价〔2018〕13号）；</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（3）关于调整合肥市建设工程计价依据增值税税率的通知（合造价〔2019〕1号）； </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（4）关于调整合肥市建设工程不可竞争费构成及计费标准的通知（合造价〔2021〕5号）；</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（5）关于合肥市建设工程人工价格信息发布及计价应用工作的通知(合造价〔2021〕8号)；</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（6）建设工程设计文件及相关资料；</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（7）与建设项目有关的标准、规范、技术资料；</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（8）招标文件及招标工程量清单及其补充通知答疑纪要； </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（9）施工现场情况、工程特点及常规施工方案；</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（10）工程造价管理机构发布的工程造价信息；</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（11）施工期间的风险因素；</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（12）其他相关材料。</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4.2 最高投标限价为本次招标工程限定的最高投标限价，应当在工程所在地建设主管部门备案。最高投标限价不做上调或下浮。如最高投标限价超过批准的概算，招标人应将其报原概算审批部门审核。</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4.3 最高投标限价应采用工程单价计价，正确、全面地使用国家、省市标准、计价定额以及相关文件，成果文件质量应符合相关标准及规程的规定。最高投标限价包括分部分项工程费、措施项目费、不可竞争费、其他项目费和税金。</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4.4 分部分项工程费按本招标文件的分部分项工程量清单的项目特征描述及有关要求，结合第4.1款编制依据确定。</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（1）综合单价中人工和施工机械台班单价按省级和工程所在地的市级工程造价管理机构公布的单价计算；</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（2）综合单价中材料、工程设备单价按省级和工程所在地的市级工程造价管理机构公布的单价以及本招标文件规定的暂估价、市场调查价格计算；</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（3）本招标文件中列有材料、设备暂估价的，按暂估价计算；</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综合单价中人工、材料和施工机械台班消耗量均按2018版安徽省建设工程计价依据（含修编版）及其部分修编内容、安徽省装配式建筑工程计价定额、安徽省房屋修缮工程计价定额、安徽省市政设施养护维修工程计价定额中定额消耗量计算；</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综合单价中综合费费率按2018版安徽省建设工程计价依据（含修编版）及其部分修编内容、安徽省装配式建筑工程计价定额、安徽省房屋修缮工程计价定额、安徽省市政设施养护维修工程计价定额及关于贯彻执行2018版安徽省建设工程计价依据的通知（合造价〔2018〕13号）计算；</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（6）综合单价中应包括招标文件约定的应由投标人承担的风险范围及其费用，风险按本招标文件第4.1款约定计算。</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4.5 计入分部分项工程量清单中技术措施项目清单，根据拟定的招标文件和常规施工方案确定。对于施工机械设备的选型根据工程特点和施工条件，本着经济实用、先进高效的原则确定。综合单价依据项目具体情况进行合理确定，复杂项目需按专家论证后的方案确定。</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4.6 不可竞争费（含安全文明施工费、环境保护税）按本招标文件中的不可竞争项目清单编制确定。</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4.7 其他项目费用应按照下列规定计价：</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（1）暂列金额按招标工程量清单中列出的金额填写；</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（2）专业工程暂估价按招标工程量清单中列出的金额填写；</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（3）计日工按招标人列出项目和数量，结合第4.1款编制依据的要求确定综合单价并计算费用； </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（4）总承包服务费根据招标文件列出的内容和要求计算。</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4.8 税金（增值税）按税金项目清单，结合第4.1款编制依据的要求编制，不得降低标准。</w:t>
      </w:r>
    </w:p>
    <w:p>
      <w:pPr>
        <w:keepNext/>
        <w:keepLines/>
        <w:spacing w:before="240" w:beforeLines="100" w:after="240" w:afterLines="100"/>
        <w:outlineLvl w:val="1"/>
        <w:rPr>
          <w:rFonts w:hint="eastAsia" w:ascii="Times New Roman" w:eastAsia="黑体"/>
          <w:color w:val="000000"/>
          <w:sz w:val="32"/>
          <w:szCs w:val="32"/>
        </w:rPr>
      </w:pPr>
      <w:bookmarkStart w:id="39" w:name="_Toc130919128"/>
      <w:bookmarkStart w:id="40" w:name="_Toc22790"/>
      <w:r>
        <w:rPr>
          <w:rFonts w:hint="eastAsia" w:ascii="Times New Roman" w:eastAsia="黑体"/>
          <w:color w:val="000000"/>
          <w:sz w:val="32"/>
          <w:szCs w:val="32"/>
        </w:rPr>
        <w:t>5. 投标报价参考编制要求</w:t>
      </w:r>
      <w:bookmarkEnd w:id="39"/>
      <w:bookmarkEnd w:id="40"/>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5.1 投标报价编制参考依据如下：</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（1）2018版安徽省建设工程计价依据（含修编版）及其部分修编内容、安徽省装配式建筑工程计价定额、安徽省房屋修缮工程计价定额、安徽省市政设施养护维修工程计价定额；</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（2）关于贯彻执行2018版安徽省建设工程计价依据的通知（合造价〔2018〕13号）；</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（3）关于调整合肥市建设工程计价依据增值税税率的通知（合造价〔2019〕1号）； </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（4）关于调整合肥市建设工程不可竞争费构成及计费标准的通知（合造价〔2021〕5号）；</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（5）关于合肥市建设工程人工价格信息发布及计价应用工作的通知(合造价〔2021〕8号)；</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（6）建设工程设计文件及相关资料；</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（7）与建设项目有关的标准、规范、技术资料；</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（8）招标文件及招标工程量清单及其补充通知答疑纪要； </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（9）施工现场情况、工程特点及拟定的投标施工组织设计；</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（10）市场价格信息或参照工程造价管理机构发布的工程造价信息；</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（11）合同执行期间由投标人承担的风险因素；</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（12）其他相关材料。</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5.2 投标人应仔细阅读招标文件，了解拟投标合同段的全部工程内容。投标人的投标报价应是招标文件所确定的招标范围内全部工程内容的价格体现，但其投标报价不得低于投标人个别成本价。</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5.3 投标人应按招标人提供的招标工程量清单填报综合单价和合价，未填报的综合单价和合价，视为此项费用已合在工程量清单的其他综合单价和合价中。</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5.4 分部分项工程费根据招标文件中的工程量清单项目及项目特征描述等确定综合单价。其中综合单价是指完成一个规定清单项目所需的人工费、材料和工程设备费、施工机具使用费和综合费（企业管理费和利润）以及一定范围内投标人承担的风险费用。</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5.5 措施项目费依据第5.1款编制依据确定。</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5.6 不可竞争费（含安全文明施工费、环境保护税）根据工程量清单不可竞争项目，结合第5.1款编制依据确定，安全文明施工费费率不得调整。</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5.7 其他项目费用应按照下列规定计价：</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（1）暂列金额按招标工程量清单中列出的金额填写，不得更改；</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（2）专业工程暂估价按招标工程量清单中列出的金额填写，不得更改；</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（3）计日工按招标人列出项目和数量，结合第5.1款编制依据的要求确定综合单价并计算费用； </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（4）总承包服务费根据招标文件列出的内容和要求计算。</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5.8 税金（增值税）按税金项目清单，结合第5.1款编制依据的要求编制，不得调整。</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5.9 投标报价编制注意事项</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除可调整价格的主要材料和甲供材及实行暂估价的材料及设备以外，其他由投标人自行采购的材料确定投标报价时应充分考虑材料价格上涨等市场风险因素，中标后不作调整，综合单价中的材料费应包含材料运杂费、采保费等一切应有费用；</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（2）结算时实行暂估价的材料和设备的价差仅计取税金，不再计取其他费用；</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本招标工程的施工地点为本须知前附表所述，投标人应自行到施工现场踏勘以充分了解工地位置、情况、道路、储存空间、装卸限制及任何其他足以影响投标报价的情况，任何因忽视或误解施工场地情况而导致的索赔或工期延长申请将不被批准。对于受施工现场场地限制，如需要另外寻找场地解决临时住宿、材料及设备堆放，由此所产生的费用应包含在投标报价范围内，招标人不再承担该费用；</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开标前，投标人应认真对照施工设计图纸等文件核对招标人提供的工程量清单，发现工程量存在项目划分误差、计量单位误差、数量误差、遗漏项目的，必须在招标文件规定的时间内向招标人提出异议或修正要求，否则招标人可不予答复；</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招标人对异议或修正要求应进行核实，确认工程量清单项目误差在±3%（含±3%）以内的，招标人可不予调整工程量，投标人应将其误差考虑在综合单价内；若有遗漏项目或清单项目工程量误差超过±3%的，招标人应进行修正并重新公布准确的工程量清单；</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（6）除合同另有约定外，中标人在工程量清单报价书中所报的综合单价在施工图纸和合同约定范围一律不予调整；</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（7）本招标工程不接受恶意不平衡报价。</w:t>
      </w:r>
    </w:p>
    <w:p>
      <w:pPr>
        <w:keepNext/>
        <w:keepLines/>
        <w:spacing w:before="240" w:beforeLines="100" w:after="240" w:afterLines="100"/>
        <w:outlineLvl w:val="1"/>
        <w:rPr>
          <w:rFonts w:hint="eastAsia" w:ascii="Times New Roman" w:eastAsia="黑体"/>
          <w:color w:val="000000"/>
          <w:sz w:val="32"/>
          <w:szCs w:val="32"/>
        </w:rPr>
      </w:pPr>
      <w:bookmarkStart w:id="41" w:name="_Toc130919129"/>
      <w:bookmarkStart w:id="42" w:name="_Toc9004"/>
      <w:r>
        <w:rPr>
          <w:rFonts w:hint="eastAsia" w:ascii="Times New Roman" w:eastAsia="黑体"/>
          <w:color w:val="000000"/>
          <w:sz w:val="32"/>
          <w:szCs w:val="32"/>
        </w:rPr>
        <w:t>6. 工程量清单</w:t>
      </w:r>
      <w:bookmarkEnd w:id="41"/>
      <w:bookmarkEnd w:id="42"/>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另册。</w:t>
      </w:r>
    </w:p>
    <w:p>
      <w:pPr>
        <w:adjustRightInd w:val="0"/>
        <w:snapToGrid w:val="0"/>
        <w:spacing w:line="360" w:lineRule="auto"/>
        <w:ind w:firstLine="480" w:firstLineChars="200"/>
        <w:rPr>
          <w:rFonts w:hint="eastAsia" w:ascii="宋体" w:hAnsi="宋体" w:eastAsia="宋体" w:cs="宋体"/>
          <w:color w:val="000000"/>
          <w:sz w:val="24"/>
          <w:szCs w:val="24"/>
        </w:rPr>
      </w:pPr>
    </w:p>
    <w:p>
      <w:pPr>
        <w:adjustRightInd w:val="0"/>
        <w:snapToGrid w:val="0"/>
        <w:spacing w:line="360" w:lineRule="auto"/>
        <w:ind w:firstLine="480" w:firstLineChars="200"/>
        <w:rPr>
          <w:rFonts w:hint="eastAsia" w:ascii="宋体" w:hAnsi="宋体" w:eastAsia="宋体" w:cs="宋体"/>
          <w:color w:val="000000"/>
          <w:sz w:val="24"/>
          <w:szCs w:val="24"/>
        </w:rPr>
      </w:pPr>
    </w:p>
    <w:p>
      <w:pPr>
        <w:adjustRightInd w:val="0"/>
        <w:snapToGrid w:val="0"/>
        <w:spacing w:line="360" w:lineRule="auto"/>
        <w:ind w:firstLine="480" w:firstLineChars="200"/>
        <w:rPr>
          <w:rFonts w:hint="default" w:ascii="宋体" w:hAnsi="宋体" w:eastAsia="宋体" w:cs="宋体"/>
          <w:color w:val="000000"/>
          <w:sz w:val="24"/>
          <w:szCs w:val="24"/>
          <w:lang w:val="en-US" w:eastAsia="zh-CN"/>
        </w:rPr>
      </w:pPr>
    </w:p>
    <w:p>
      <w:pPr>
        <w:pStyle w:val="19"/>
        <w:rPr>
          <w:rFonts w:hint="default" w:ascii="宋体" w:hAnsi="宋体" w:eastAsia="宋体" w:cs="宋体"/>
          <w:color w:val="000000"/>
          <w:sz w:val="24"/>
          <w:szCs w:val="24"/>
          <w:lang w:val="en-US" w:eastAsia="zh-CN"/>
        </w:rPr>
      </w:pPr>
    </w:p>
    <w:p>
      <w:pPr>
        <w:pStyle w:val="6"/>
        <w:rPr>
          <w:rFonts w:hint="default" w:ascii="宋体" w:hAnsi="宋体" w:eastAsia="宋体" w:cs="宋体"/>
          <w:color w:val="000000"/>
          <w:sz w:val="24"/>
          <w:szCs w:val="24"/>
          <w:lang w:val="en-US" w:eastAsia="zh-CN"/>
        </w:rPr>
      </w:pPr>
    </w:p>
    <w:p>
      <w:pPr>
        <w:pStyle w:val="7"/>
        <w:rPr>
          <w:rFonts w:hint="default" w:ascii="宋体" w:hAnsi="宋体" w:eastAsia="宋体" w:cs="宋体"/>
          <w:color w:val="000000"/>
          <w:sz w:val="24"/>
          <w:szCs w:val="24"/>
          <w:lang w:val="en-US" w:eastAsia="zh-CN"/>
        </w:rPr>
      </w:pPr>
    </w:p>
    <w:p>
      <w:pPr>
        <w:pStyle w:val="7"/>
        <w:rPr>
          <w:rFonts w:hint="default" w:ascii="宋体" w:hAnsi="宋体" w:eastAsia="宋体" w:cs="宋体"/>
          <w:color w:val="000000"/>
          <w:sz w:val="24"/>
          <w:szCs w:val="24"/>
          <w:lang w:val="en-US" w:eastAsia="zh-CN"/>
        </w:rPr>
      </w:pPr>
    </w:p>
    <w:p>
      <w:pPr>
        <w:pStyle w:val="7"/>
        <w:rPr>
          <w:rFonts w:hint="default" w:ascii="宋体" w:hAnsi="宋体" w:eastAsia="宋体" w:cs="宋体"/>
          <w:color w:val="000000"/>
          <w:sz w:val="24"/>
          <w:szCs w:val="24"/>
          <w:lang w:val="en-US" w:eastAsia="zh-CN"/>
        </w:rPr>
      </w:pPr>
    </w:p>
    <w:p>
      <w:pPr>
        <w:pStyle w:val="7"/>
        <w:rPr>
          <w:rFonts w:hint="default" w:ascii="宋体" w:hAnsi="宋体" w:eastAsia="宋体" w:cs="宋体"/>
          <w:color w:val="000000"/>
          <w:sz w:val="24"/>
          <w:szCs w:val="24"/>
          <w:lang w:val="en-US" w:eastAsia="zh-CN"/>
        </w:rPr>
      </w:pPr>
    </w:p>
    <w:p>
      <w:pPr>
        <w:pStyle w:val="7"/>
        <w:rPr>
          <w:rFonts w:hint="default" w:ascii="宋体" w:hAnsi="宋体" w:eastAsia="宋体" w:cs="宋体"/>
          <w:color w:val="000000"/>
          <w:sz w:val="24"/>
          <w:szCs w:val="24"/>
          <w:lang w:val="en-US" w:eastAsia="zh-CN"/>
        </w:rPr>
      </w:pPr>
    </w:p>
    <w:p>
      <w:pPr>
        <w:pStyle w:val="7"/>
        <w:rPr>
          <w:rFonts w:hint="default" w:ascii="宋体" w:hAnsi="宋体" w:eastAsia="宋体" w:cs="宋体"/>
          <w:color w:val="000000"/>
          <w:sz w:val="24"/>
          <w:szCs w:val="24"/>
          <w:lang w:val="en-US" w:eastAsia="zh-CN"/>
        </w:rPr>
      </w:pPr>
    </w:p>
    <w:p>
      <w:pPr>
        <w:pStyle w:val="7"/>
        <w:rPr>
          <w:rFonts w:hint="default" w:ascii="宋体" w:hAnsi="宋体" w:eastAsia="宋体" w:cs="宋体"/>
          <w:color w:val="000000"/>
          <w:sz w:val="24"/>
          <w:szCs w:val="24"/>
          <w:lang w:val="en-US" w:eastAsia="zh-CN"/>
        </w:rPr>
      </w:pPr>
    </w:p>
    <w:p>
      <w:pPr>
        <w:pStyle w:val="7"/>
        <w:rPr>
          <w:rFonts w:hint="default" w:ascii="宋体" w:hAnsi="宋体" w:eastAsia="宋体" w:cs="宋体"/>
          <w:color w:val="000000"/>
          <w:sz w:val="24"/>
          <w:szCs w:val="24"/>
          <w:lang w:val="en-US" w:eastAsia="zh-CN"/>
        </w:rPr>
      </w:pPr>
    </w:p>
    <w:p>
      <w:pPr>
        <w:pStyle w:val="7"/>
        <w:rPr>
          <w:rFonts w:hint="default" w:ascii="宋体" w:hAnsi="宋体" w:eastAsia="宋体" w:cs="宋体"/>
          <w:color w:val="000000"/>
          <w:sz w:val="24"/>
          <w:szCs w:val="24"/>
          <w:lang w:val="en-US" w:eastAsia="zh-CN"/>
        </w:rPr>
      </w:pPr>
    </w:p>
    <w:p>
      <w:pPr>
        <w:pStyle w:val="7"/>
        <w:rPr>
          <w:rFonts w:hint="default" w:ascii="宋体" w:hAnsi="宋体" w:eastAsia="宋体" w:cs="宋体"/>
          <w:color w:val="000000"/>
          <w:sz w:val="24"/>
          <w:szCs w:val="24"/>
          <w:lang w:val="en-US" w:eastAsia="zh-CN"/>
        </w:rPr>
      </w:pPr>
    </w:p>
    <w:p>
      <w:pPr>
        <w:pStyle w:val="7"/>
        <w:rPr>
          <w:rFonts w:hint="default" w:ascii="宋体" w:hAnsi="宋体" w:eastAsia="宋体" w:cs="宋体"/>
          <w:color w:val="000000"/>
          <w:sz w:val="24"/>
          <w:szCs w:val="24"/>
          <w:lang w:val="en-US" w:eastAsia="zh-CN"/>
        </w:rPr>
      </w:pPr>
    </w:p>
    <w:p>
      <w:pPr>
        <w:pStyle w:val="3"/>
        <w:spacing w:before="240" w:beforeLines="100" w:after="240" w:afterLines="100" w:line="240" w:lineRule="auto"/>
        <w:jc w:val="center"/>
        <w:rPr>
          <w:rFonts w:hint="eastAsia" w:ascii="宋体" w:hAnsi="宋体" w:eastAsia="宋体" w:cs="宋体"/>
          <w:b/>
          <w:bCs/>
          <w:color w:val="000000"/>
          <w:sz w:val="28"/>
          <w:szCs w:val="28"/>
        </w:rPr>
      </w:pPr>
      <w:bookmarkStart w:id="43" w:name="_Toc130919130"/>
    </w:p>
    <w:p>
      <w:pPr>
        <w:pStyle w:val="3"/>
        <w:spacing w:before="240" w:beforeLines="100" w:after="240" w:afterLines="100" w:line="240" w:lineRule="auto"/>
        <w:jc w:val="both"/>
        <w:rPr>
          <w:rFonts w:hint="eastAsia" w:ascii="宋体" w:hAnsi="宋体" w:eastAsia="宋体" w:cs="宋体"/>
          <w:b/>
          <w:bCs/>
          <w:color w:val="000000"/>
          <w:sz w:val="28"/>
          <w:szCs w:val="28"/>
        </w:rPr>
      </w:pPr>
    </w:p>
    <w:p>
      <w:pPr>
        <w:pStyle w:val="3"/>
        <w:spacing w:before="240" w:beforeLines="100" w:after="240" w:afterLines="100" w:line="240" w:lineRule="auto"/>
        <w:jc w:val="both"/>
        <w:rPr>
          <w:rFonts w:hint="eastAsia" w:ascii="宋体" w:hAnsi="宋体" w:eastAsia="宋体" w:cs="宋体"/>
          <w:b/>
          <w:bCs/>
          <w:color w:val="000000"/>
          <w:sz w:val="28"/>
          <w:szCs w:val="28"/>
        </w:rPr>
      </w:pPr>
    </w:p>
    <w:p>
      <w:pPr>
        <w:rPr>
          <w:rFonts w:hint="eastAsia"/>
        </w:rPr>
      </w:pPr>
    </w:p>
    <w:p>
      <w:pPr>
        <w:pStyle w:val="3"/>
        <w:spacing w:before="240" w:beforeLines="100" w:after="240" w:afterLines="100" w:line="240" w:lineRule="auto"/>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第六章  图纸</w:t>
      </w:r>
      <w:bookmarkEnd w:id="43"/>
    </w:p>
    <w:p>
      <w:pPr>
        <w:pStyle w:val="7"/>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（另册）</w:t>
      </w:r>
    </w:p>
    <w:p>
      <w:pPr>
        <w:pStyle w:val="7"/>
        <w:jc w:val="center"/>
        <w:rPr>
          <w:rFonts w:hint="eastAsia" w:ascii="宋体" w:hAnsi="宋体" w:eastAsia="宋体" w:cs="宋体"/>
          <w:b w:val="0"/>
          <w:bCs w:val="0"/>
          <w:color w:val="000000"/>
          <w:sz w:val="24"/>
          <w:szCs w:val="24"/>
        </w:rPr>
      </w:pPr>
    </w:p>
    <w:p>
      <w:pPr>
        <w:pStyle w:val="7"/>
        <w:jc w:val="center"/>
        <w:rPr>
          <w:rFonts w:hint="eastAsia" w:ascii="宋体" w:hAnsi="宋体" w:eastAsia="宋体" w:cs="宋体"/>
          <w:b w:val="0"/>
          <w:bCs w:val="0"/>
          <w:color w:val="000000"/>
          <w:sz w:val="24"/>
          <w:szCs w:val="24"/>
        </w:rPr>
      </w:pPr>
    </w:p>
    <w:p>
      <w:pPr>
        <w:pStyle w:val="7"/>
        <w:jc w:val="center"/>
        <w:rPr>
          <w:rFonts w:hint="eastAsia" w:ascii="宋体" w:hAnsi="宋体" w:eastAsia="宋体" w:cs="宋体"/>
          <w:b w:val="0"/>
          <w:bCs w:val="0"/>
          <w:color w:val="000000"/>
          <w:sz w:val="24"/>
          <w:szCs w:val="24"/>
        </w:rPr>
      </w:pPr>
    </w:p>
    <w:p>
      <w:pPr>
        <w:pStyle w:val="7"/>
        <w:jc w:val="center"/>
        <w:rPr>
          <w:rFonts w:hint="eastAsia" w:ascii="宋体" w:hAnsi="宋体" w:eastAsia="宋体" w:cs="宋体"/>
          <w:b w:val="0"/>
          <w:bCs w:val="0"/>
          <w:color w:val="000000"/>
          <w:sz w:val="24"/>
          <w:szCs w:val="24"/>
        </w:rPr>
      </w:pPr>
    </w:p>
    <w:p>
      <w:pPr>
        <w:pStyle w:val="7"/>
        <w:jc w:val="center"/>
        <w:rPr>
          <w:rFonts w:hint="eastAsia" w:ascii="宋体" w:hAnsi="宋体" w:eastAsia="宋体" w:cs="宋体"/>
          <w:b w:val="0"/>
          <w:bCs w:val="0"/>
          <w:color w:val="000000"/>
          <w:sz w:val="24"/>
          <w:szCs w:val="24"/>
        </w:rPr>
      </w:pPr>
    </w:p>
    <w:p>
      <w:pPr>
        <w:pStyle w:val="7"/>
        <w:jc w:val="center"/>
        <w:rPr>
          <w:rFonts w:hint="eastAsia" w:ascii="宋体" w:hAnsi="宋体" w:eastAsia="宋体" w:cs="宋体"/>
          <w:b w:val="0"/>
          <w:bCs w:val="0"/>
          <w:color w:val="000000"/>
          <w:sz w:val="24"/>
          <w:szCs w:val="24"/>
        </w:rPr>
      </w:pPr>
    </w:p>
    <w:p>
      <w:pPr>
        <w:pStyle w:val="7"/>
        <w:numPr>
          <w:ilvl w:val="0"/>
          <w:numId w:val="0"/>
        </w:numPr>
        <w:ind w:left="0" w:leftChars="0" w:firstLine="0" w:firstLineChars="0"/>
        <w:jc w:val="center"/>
        <w:rPr>
          <w:rFonts w:hint="eastAsia" w:ascii="宋体" w:hAnsi="宋体" w:eastAsia="宋体" w:cs="宋体"/>
          <w:b/>
          <w:bCs/>
          <w:color w:val="000000"/>
          <w:spacing w:val="-20"/>
          <w:kern w:val="20"/>
          <w:sz w:val="28"/>
          <w:szCs w:val="28"/>
          <w:lang w:val="en-US" w:eastAsia="zh-CN" w:bidi="ar-SA"/>
        </w:rPr>
      </w:pPr>
      <w:bookmarkStart w:id="44" w:name="_Toc130919131"/>
    </w:p>
    <w:p>
      <w:pPr>
        <w:pStyle w:val="7"/>
        <w:numPr>
          <w:ilvl w:val="0"/>
          <w:numId w:val="0"/>
        </w:numPr>
        <w:ind w:left="0" w:leftChars="0" w:firstLine="0" w:firstLineChars="0"/>
        <w:jc w:val="center"/>
        <w:rPr>
          <w:rFonts w:hint="eastAsia" w:ascii="宋体" w:hAnsi="宋体" w:eastAsia="宋体" w:cs="宋体"/>
          <w:b/>
          <w:bCs/>
          <w:color w:val="000000"/>
          <w:spacing w:val="-20"/>
          <w:kern w:val="20"/>
          <w:sz w:val="28"/>
          <w:szCs w:val="28"/>
          <w:lang w:val="en-US" w:eastAsia="zh-CN" w:bidi="ar-SA"/>
        </w:rPr>
      </w:pPr>
    </w:p>
    <w:p>
      <w:pPr>
        <w:pStyle w:val="7"/>
        <w:numPr>
          <w:ilvl w:val="0"/>
          <w:numId w:val="0"/>
        </w:numPr>
        <w:ind w:left="0" w:leftChars="0" w:firstLine="0" w:firstLineChars="0"/>
        <w:jc w:val="center"/>
        <w:rPr>
          <w:rFonts w:hint="eastAsia" w:ascii="宋体" w:hAnsi="宋体" w:eastAsia="宋体" w:cs="宋体"/>
          <w:b/>
          <w:bCs/>
          <w:color w:val="000000"/>
          <w:spacing w:val="-20"/>
          <w:kern w:val="20"/>
          <w:sz w:val="28"/>
          <w:szCs w:val="28"/>
          <w:lang w:val="en-US" w:eastAsia="zh-CN" w:bidi="ar-SA"/>
        </w:rPr>
      </w:pPr>
    </w:p>
    <w:p>
      <w:pPr>
        <w:pStyle w:val="7"/>
        <w:numPr>
          <w:ilvl w:val="0"/>
          <w:numId w:val="0"/>
        </w:numPr>
        <w:ind w:left="0" w:leftChars="0" w:firstLine="0" w:firstLineChars="0"/>
        <w:jc w:val="center"/>
        <w:rPr>
          <w:rFonts w:hint="eastAsia" w:ascii="宋体" w:hAnsi="宋体" w:eastAsia="宋体" w:cs="宋体"/>
          <w:b/>
          <w:bCs/>
          <w:color w:val="000000"/>
          <w:spacing w:val="-20"/>
          <w:kern w:val="20"/>
          <w:sz w:val="28"/>
          <w:szCs w:val="28"/>
          <w:lang w:val="en-US" w:eastAsia="zh-CN" w:bidi="ar-SA"/>
        </w:rPr>
      </w:pPr>
    </w:p>
    <w:p>
      <w:pPr>
        <w:pStyle w:val="7"/>
        <w:numPr>
          <w:ilvl w:val="0"/>
          <w:numId w:val="0"/>
        </w:numPr>
        <w:ind w:left="0" w:leftChars="0" w:firstLine="0" w:firstLineChars="0"/>
        <w:jc w:val="center"/>
        <w:rPr>
          <w:rFonts w:hint="eastAsia" w:ascii="宋体" w:hAnsi="宋体" w:eastAsia="宋体" w:cs="宋体"/>
          <w:b/>
          <w:bCs/>
          <w:color w:val="000000"/>
          <w:spacing w:val="-20"/>
          <w:kern w:val="20"/>
          <w:sz w:val="28"/>
          <w:szCs w:val="28"/>
          <w:lang w:val="en-US" w:eastAsia="zh-CN" w:bidi="ar-SA"/>
        </w:rPr>
      </w:pPr>
    </w:p>
    <w:p>
      <w:pPr>
        <w:pStyle w:val="7"/>
        <w:numPr>
          <w:ilvl w:val="0"/>
          <w:numId w:val="0"/>
        </w:numPr>
        <w:ind w:left="0" w:leftChars="0" w:firstLine="0" w:firstLineChars="0"/>
        <w:jc w:val="center"/>
        <w:rPr>
          <w:rFonts w:hint="eastAsia" w:ascii="宋体" w:hAnsi="宋体" w:eastAsia="宋体" w:cs="宋体"/>
          <w:b/>
          <w:bCs/>
          <w:color w:val="000000"/>
          <w:spacing w:val="-20"/>
          <w:kern w:val="20"/>
          <w:sz w:val="28"/>
          <w:szCs w:val="28"/>
          <w:lang w:val="en-US" w:eastAsia="zh-CN" w:bidi="ar-SA"/>
        </w:rPr>
      </w:pPr>
    </w:p>
    <w:p>
      <w:pPr>
        <w:pStyle w:val="7"/>
        <w:numPr>
          <w:ilvl w:val="0"/>
          <w:numId w:val="0"/>
        </w:numPr>
        <w:ind w:left="0" w:leftChars="0" w:firstLine="0" w:firstLineChars="0"/>
        <w:jc w:val="center"/>
        <w:rPr>
          <w:rFonts w:hint="eastAsia" w:ascii="宋体" w:hAnsi="宋体" w:eastAsia="宋体" w:cs="宋体"/>
          <w:b/>
          <w:bCs/>
          <w:color w:val="000000"/>
          <w:spacing w:val="-20"/>
          <w:kern w:val="20"/>
          <w:sz w:val="28"/>
          <w:szCs w:val="28"/>
          <w:lang w:val="en-US" w:eastAsia="zh-CN" w:bidi="ar-SA"/>
        </w:rPr>
      </w:pPr>
    </w:p>
    <w:p>
      <w:pPr>
        <w:pStyle w:val="7"/>
        <w:numPr>
          <w:ilvl w:val="0"/>
          <w:numId w:val="0"/>
        </w:numPr>
        <w:ind w:left="0" w:leftChars="0" w:firstLine="0" w:firstLineChars="0"/>
        <w:jc w:val="center"/>
        <w:rPr>
          <w:rFonts w:hint="eastAsia" w:ascii="宋体" w:hAnsi="宋体" w:eastAsia="宋体" w:cs="宋体"/>
          <w:b/>
          <w:bCs/>
          <w:color w:val="000000"/>
          <w:spacing w:val="-20"/>
          <w:kern w:val="20"/>
          <w:sz w:val="28"/>
          <w:szCs w:val="28"/>
          <w:lang w:val="en-US" w:eastAsia="zh-CN" w:bidi="ar-SA"/>
        </w:rPr>
      </w:pPr>
    </w:p>
    <w:p>
      <w:pPr>
        <w:pStyle w:val="7"/>
        <w:numPr>
          <w:ilvl w:val="0"/>
          <w:numId w:val="0"/>
        </w:numPr>
        <w:ind w:left="0" w:leftChars="0" w:firstLine="0" w:firstLineChars="0"/>
        <w:jc w:val="center"/>
        <w:rPr>
          <w:rFonts w:hint="eastAsia" w:ascii="宋体" w:hAnsi="宋体" w:eastAsia="宋体" w:cs="宋体"/>
          <w:b/>
          <w:bCs/>
          <w:color w:val="000000"/>
          <w:spacing w:val="-20"/>
          <w:kern w:val="20"/>
          <w:sz w:val="28"/>
          <w:szCs w:val="28"/>
          <w:lang w:val="en-US" w:eastAsia="zh-CN" w:bidi="ar-SA"/>
        </w:rPr>
      </w:pPr>
    </w:p>
    <w:p>
      <w:pPr>
        <w:pStyle w:val="7"/>
        <w:numPr>
          <w:ilvl w:val="0"/>
          <w:numId w:val="0"/>
        </w:numPr>
        <w:ind w:left="0" w:leftChars="0" w:firstLine="0" w:firstLineChars="0"/>
        <w:jc w:val="center"/>
        <w:rPr>
          <w:rFonts w:hint="eastAsia" w:ascii="宋体" w:hAnsi="宋体" w:eastAsia="宋体" w:cs="宋体"/>
          <w:b/>
          <w:bCs/>
          <w:color w:val="000000"/>
          <w:spacing w:val="-20"/>
          <w:kern w:val="20"/>
          <w:sz w:val="28"/>
          <w:szCs w:val="28"/>
          <w:lang w:val="en-US" w:eastAsia="zh-CN" w:bidi="ar-SA"/>
        </w:rPr>
      </w:pPr>
    </w:p>
    <w:p>
      <w:pPr>
        <w:pStyle w:val="7"/>
        <w:numPr>
          <w:ilvl w:val="0"/>
          <w:numId w:val="0"/>
        </w:numPr>
        <w:ind w:left="0" w:leftChars="0" w:firstLine="0" w:firstLineChars="0"/>
        <w:jc w:val="center"/>
        <w:rPr>
          <w:rFonts w:hint="eastAsia" w:ascii="宋体" w:hAnsi="宋体" w:eastAsia="宋体" w:cs="宋体"/>
          <w:b/>
          <w:bCs/>
          <w:color w:val="000000"/>
          <w:spacing w:val="-20"/>
          <w:kern w:val="20"/>
          <w:sz w:val="28"/>
          <w:szCs w:val="28"/>
          <w:lang w:val="en-US" w:eastAsia="zh-CN" w:bidi="ar-SA"/>
        </w:rPr>
      </w:pPr>
    </w:p>
    <w:p>
      <w:pPr>
        <w:pStyle w:val="7"/>
        <w:numPr>
          <w:ilvl w:val="0"/>
          <w:numId w:val="0"/>
        </w:numPr>
        <w:ind w:left="0" w:leftChars="0" w:firstLine="0" w:firstLineChars="0"/>
        <w:jc w:val="center"/>
        <w:rPr>
          <w:rFonts w:hint="eastAsia" w:ascii="宋体" w:hAnsi="宋体" w:eastAsia="宋体" w:cs="宋体"/>
          <w:b/>
          <w:bCs/>
          <w:color w:val="000000"/>
          <w:spacing w:val="-20"/>
          <w:kern w:val="20"/>
          <w:sz w:val="28"/>
          <w:szCs w:val="28"/>
          <w:lang w:val="en-US" w:eastAsia="zh-CN" w:bidi="ar-SA"/>
        </w:rPr>
      </w:pPr>
    </w:p>
    <w:p>
      <w:pPr>
        <w:pStyle w:val="7"/>
        <w:numPr>
          <w:ilvl w:val="0"/>
          <w:numId w:val="0"/>
        </w:numPr>
        <w:ind w:left="0" w:leftChars="0" w:firstLine="0" w:firstLineChars="0"/>
        <w:jc w:val="center"/>
        <w:rPr>
          <w:rFonts w:hint="eastAsia" w:ascii="宋体" w:hAnsi="宋体" w:eastAsia="宋体" w:cs="宋体"/>
          <w:b/>
          <w:bCs/>
          <w:color w:val="000000"/>
          <w:spacing w:val="-20"/>
          <w:kern w:val="20"/>
          <w:sz w:val="28"/>
          <w:szCs w:val="28"/>
          <w:lang w:val="en-US" w:eastAsia="zh-CN" w:bidi="ar-SA"/>
        </w:rPr>
      </w:pPr>
    </w:p>
    <w:p>
      <w:pPr>
        <w:pStyle w:val="7"/>
        <w:numPr>
          <w:ilvl w:val="0"/>
          <w:numId w:val="0"/>
        </w:numPr>
        <w:ind w:left="0" w:leftChars="0" w:firstLine="0" w:firstLineChars="0"/>
        <w:jc w:val="both"/>
        <w:rPr>
          <w:rFonts w:hint="eastAsia" w:ascii="宋体" w:hAnsi="宋体" w:eastAsia="宋体" w:cs="宋体"/>
          <w:b/>
          <w:bCs/>
          <w:color w:val="000000"/>
          <w:spacing w:val="-20"/>
          <w:kern w:val="20"/>
          <w:sz w:val="28"/>
          <w:szCs w:val="28"/>
          <w:lang w:val="en-US" w:eastAsia="zh-CN" w:bidi="ar-SA"/>
        </w:rPr>
      </w:pPr>
    </w:p>
    <w:p>
      <w:pPr>
        <w:pStyle w:val="7"/>
        <w:numPr>
          <w:ilvl w:val="0"/>
          <w:numId w:val="0"/>
        </w:numPr>
        <w:ind w:left="0" w:leftChars="0" w:firstLine="0" w:firstLineChars="0"/>
        <w:jc w:val="center"/>
        <w:rPr>
          <w:rFonts w:hint="eastAsia" w:ascii="宋体" w:hAnsi="宋体" w:eastAsia="宋体" w:cs="宋体"/>
          <w:b/>
          <w:bCs/>
          <w:color w:val="000000"/>
          <w:sz w:val="28"/>
          <w:szCs w:val="28"/>
        </w:rPr>
      </w:pPr>
      <w:r>
        <w:rPr>
          <w:rFonts w:hint="eastAsia" w:ascii="宋体" w:hAnsi="宋体" w:eastAsia="宋体" w:cs="宋体"/>
          <w:b/>
          <w:bCs/>
          <w:color w:val="000000"/>
          <w:spacing w:val="-20"/>
          <w:kern w:val="20"/>
          <w:sz w:val="28"/>
          <w:szCs w:val="28"/>
          <w:lang w:val="en-US" w:eastAsia="zh-CN" w:bidi="ar-SA"/>
        </w:rPr>
        <w:t>第</w:t>
      </w:r>
      <w:r>
        <w:rPr>
          <w:rFonts w:hint="eastAsia" w:hAnsi="宋体" w:eastAsia="宋体" w:cs="宋体"/>
          <w:b/>
          <w:bCs/>
          <w:color w:val="000000"/>
          <w:spacing w:val="-20"/>
          <w:kern w:val="20"/>
          <w:sz w:val="28"/>
          <w:szCs w:val="28"/>
          <w:lang w:val="en-US" w:eastAsia="zh-CN" w:bidi="ar-SA"/>
        </w:rPr>
        <w:t>七</w:t>
      </w:r>
      <w:r>
        <w:rPr>
          <w:rFonts w:hint="eastAsia" w:ascii="宋体" w:hAnsi="宋体" w:eastAsia="宋体" w:cs="宋体"/>
          <w:b/>
          <w:bCs/>
          <w:color w:val="000000"/>
          <w:spacing w:val="-20"/>
          <w:kern w:val="20"/>
          <w:sz w:val="28"/>
          <w:szCs w:val="28"/>
          <w:lang w:val="en-US" w:eastAsia="zh-CN" w:bidi="ar-SA"/>
        </w:rPr>
        <w:t>章</w:t>
      </w:r>
      <w:r>
        <w:rPr>
          <w:rFonts w:hint="eastAsia" w:ascii="宋体" w:hAnsi="宋体" w:eastAsia="宋体" w:cs="宋体"/>
          <w:b/>
          <w:bCs/>
          <w:color w:val="000000"/>
          <w:sz w:val="28"/>
          <w:szCs w:val="28"/>
        </w:rPr>
        <w:t xml:space="preserve"> 技术标准和要求</w:t>
      </w:r>
      <w:bookmarkEnd w:id="44"/>
    </w:p>
    <w:p>
      <w:pPr>
        <w:snapToGrid w:val="0"/>
        <w:spacing w:line="360" w:lineRule="auto"/>
        <w:ind w:firstLine="482" w:firstLineChars="200"/>
        <w:outlineLvl w:val="1"/>
        <w:rPr>
          <w:rFonts w:hint="eastAsia" w:ascii="宋体" w:hAnsi="宋体" w:eastAsia="宋体" w:cs="宋体"/>
          <w:b/>
          <w:color w:val="000000"/>
          <w:sz w:val="24"/>
          <w:szCs w:val="24"/>
        </w:rPr>
      </w:pPr>
      <w:bookmarkStart w:id="45" w:name="_Toc130919132"/>
      <w:bookmarkStart w:id="46" w:name="_Toc27195"/>
      <w:bookmarkStart w:id="47" w:name="_Toc25376"/>
      <w:bookmarkStart w:id="48" w:name="_Toc128950260"/>
      <w:r>
        <w:rPr>
          <w:rFonts w:hint="eastAsia" w:ascii="宋体" w:hAnsi="宋体" w:eastAsia="宋体" w:cs="宋体"/>
          <w:b/>
          <w:color w:val="000000"/>
          <w:sz w:val="24"/>
          <w:szCs w:val="24"/>
        </w:rPr>
        <w:t>1. 一般要求</w:t>
      </w:r>
      <w:bookmarkEnd w:id="45"/>
    </w:p>
    <w:p>
      <w:pPr>
        <w:adjustRightInd w:val="0"/>
        <w:snapToGrid w:val="0"/>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lang w:val="en-US" w:eastAsia="zh-CN"/>
        </w:rPr>
        <w:t>本招标工程项目施工、验收须达到设计文件的要求和国家及有关部委、安徽省、项目所在市现行的工程建设标准、规范、规定的要求（文件标准之间相互冲突的，以标准较高者为准）</w:t>
      </w:r>
      <w:r>
        <w:rPr>
          <w:rFonts w:hint="eastAsia" w:ascii="宋体" w:hAnsi="宋体" w:eastAsia="宋体" w:cs="宋体"/>
          <w:color w:val="000000"/>
          <w:sz w:val="24"/>
          <w:szCs w:val="24"/>
        </w:rPr>
        <w:t>；</w:t>
      </w:r>
    </w:p>
    <w:p>
      <w:pPr>
        <w:snapToGrid w:val="0"/>
        <w:spacing w:line="360" w:lineRule="auto"/>
        <w:ind w:firstLine="482" w:firstLineChars="200"/>
        <w:outlineLvl w:val="1"/>
        <w:rPr>
          <w:rFonts w:hint="eastAsia" w:ascii="宋体" w:hAnsi="宋体" w:eastAsia="宋体" w:cs="宋体"/>
          <w:b/>
          <w:color w:val="000000"/>
          <w:sz w:val="24"/>
          <w:szCs w:val="24"/>
        </w:rPr>
      </w:pPr>
      <w:bookmarkStart w:id="49" w:name="_Toc130919133"/>
      <w:r>
        <w:rPr>
          <w:rFonts w:hint="eastAsia" w:ascii="宋体" w:hAnsi="宋体" w:eastAsia="宋体" w:cs="宋体"/>
          <w:b/>
          <w:color w:val="000000"/>
          <w:sz w:val="24"/>
          <w:szCs w:val="24"/>
        </w:rPr>
        <w:t>2. 特殊技术标准和要求</w:t>
      </w:r>
      <w:bookmarkEnd w:id="49"/>
    </w:p>
    <w:p>
      <w:pPr>
        <w:adjustRightInd w:val="0"/>
        <w:snapToGrid w:val="0"/>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lang w:val="en-US" w:eastAsia="zh-CN"/>
        </w:rPr>
        <w:t>详见招标项目施工图纸及相关补疑</w:t>
      </w:r>
      <w:r>
        <w:rPr>
          <w:rFonts w:hint="eastAsia" w:ascii="宋体" w:hAnsi="宋体" w:eastAsia="宋体" w:cs="宋体"/>
          <w:color w:val="000000"/>
          <w:sz w:val="24"/>
          <w:szCs w:val="24"/>
        </w:rPr>
        <w:t>；</w:t>
      </w:r>
    </w:p>
    <w:p>
      <w:pPr>
        <w:snapToGrid w:val="0"/>
        <w:spacing w:line="360" w:lineRule="auto"/>
        <w:ind w:firstLine="482" w:firstLineChars="200"/>
        <w:outlineLvl w:val="1"/>
        <w:rPr>
          <w:rFonts w:hint="eastAsia" w:ascii="宋体" w:hAnsi="宋体" w:eastAsia="宋体" w:cs="宋体"/>
          <w:b/>
          <w:color w:val="000000"/>
          <w:sz w:val="24"/>
          <w:szCs w:val="24"/>
        </w:rPr>
      </w:pPr>
      <w:bookmarkStart w:id="50" w:name="_Toc130919134"/>
      <w:r>
        <w:rPr>
          <w:rFonts w:hint="eastAsia" w:ascii="宋体" w:hAnsi="宋体" w:eastAsia="宋体" w:cs="宋体"/>
          <w:b/>
          <w:color w:val="000000"/>
          <w:sz w:val="24"/>
          <w:szCs w:val="24"/>
        </w:rPr>
        <w:t>3. 适用的国家、行业以及地方标准、规范和规程</w:t>
      </w:r>
      <w:bookmarkEnd w:id="50"/>
    </w:p>
    <w:bookmarkEnd w:id="46"/>
    <w:bookmarkEnd w:id="47"/>
    <w:bookmarkEnd w:id="48"/>
    <w:p>
      <w:pPr>
        <w:adjustRightInd w:val="0"/>
        <w:snapToGrid w:val="0"/>
        <w:spacing w:line="360" w:lineRule="auto"/>
        <w:ind w:firstLine="482" w:firstLineChars="200"/>
        <w:rPr>
          <w:rFonts w:hint="eastAsia" w:ascii="宋体" w:hAnsi="宋体" w:eastAsia="宋体" w:cs="宋体"/>
          <w:color w:val="000000"/>
          <w:sz w:val="24"/>
          <w:szCs w:val="24"/>
        </w:rPr>
      </w:pPr>
      <w:bookmarkStart w:id="51" w:name="_Toc130919135"/>
      <w:r>
        <w:rPr>
          <w:rFonts w:hint="eastAsia" w:ascii="宋体" w:hAnsi="宋体" w:eastAsia="宋体" w:cs="宋体"/>
          <w:b/>
          <w:bCs/>
          <w:color w:val="000000"/>
          <w:sz w:val="24"/>
          <w:szCs w:val="24"/>
          <w:lang w:val="en-US" w:eastAsia="zh-CN"/>
        </w:rPr>
        <w:t>详见招标项目施工图纸及相关补疑</w:t>
      </w:r>
      <w:r>
        <w:rPr>
          <w:rFonts w:hint="eastAsia" w:ascii="宋体" w:hAnsi="宋体" w:eastAsia="宋体" w:cs="宋体"/>
          <w:color w:val="000000"/>
          <w:sz w:val="24"/>
          <w:szCs w:val="24"/>
        </w:rPr>
        <w:t>；</w:t>
      </w:r>
    </w:p>
    <w:p>
      <w:pPr>
        <w:snapToGrid w:val="0"/>
        <w:spacing w:line="360" w:lineRule="auto"/>
        <w:ind w:firstLine="482" w:firstLineChars="200"/>
        <w:outlineLvl w:val="1"/>
        <w:rPr>
          <w:rFonts w:hint="eastAsia" w:ascii="宋体" w:hAnsi="宋体" w:eastAsia="宋体" w:cs="宋体"/>
          <w:b/>
          <w:color w:val="000000"/>
          <w:sz w:val="24"/>
          <w:szCs w:val="24"/>
        </w:rPr>
      </w:pPr>
      <w:r>
        <w:rPr>
          <w:rFonts w:hint="eastAsia" w:ascii="宋体" w:hAnsi="宋体" w:eastAsia="宋体" w:cs="宋体"/>
          <w:b/>
          <w:color w:val="000000"/>
          <w:sz w:val="24"/>
          <w:szCs w:val="24"/>
        </w:rPr>
        <w:t>4. 重点难点及危险性较大的分部分项工程</w:t>
      </w:r>
      <w:bookmarkEnd w:id="51"/>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（1）本招标项目重点难点：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（2）本招标项目危险性较大的分部分项工程清单：</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（3）其他要求：</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napToGrid w:val="0"/>
        <w:spacing w:line="360" w:lineRule="auto"/>
        <w:ind w:firstLine="482" w:firstLineChars="200"/>
        <w:outlineLvl w:val="1"/>
        <w:rPr>
          <w:rFonts w:hint="eastAsia" w:ascii="宋体" w:hAnsi="宋体" w:eastAsia="宋体" w:cs="宋体"/>
          <w:b/>
          <w:color w:val="000000"/>
          <w:sz w:val="24"/>
          <w:szCs w:val="24"/>
        </w:rPr>
      </w:pPr>
      <w:bookmarkStart w:id="52" w:name="_Toc14360"/>
      <w:bookmarkStart w:id="53" w:name="_Toc15876"/>
      <w:bookmarkStart w:id="54" w:name="_Toc130919136"/>
      <w:bookmarkStart w:id="55" w:name="_Toc128950261"/>
      <w:r>
        <w:rPr>
          <w:rFonts w:hint="eastAsia" w:ascii="宋体" w:hAnsi="宋体" w:eastAsia="宋体" w:cs="宋体"/>
          <w:b/>
          <w:color w:val="000000"/>
          <w:sz w:val="24"/>
          <w:szCs w:val="24"/>
        </w:rPr>
        <w:t>5. 材料与设备要求</w:t>
      </w:r>
      <w:bookmarkEnd w:id="52"/>
      <w:bookmarkEnd w:id="53"/>
      <w:bookmarkEnd w:id="54"/>
      <w:bookmarkEnd w:id="55"/>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（1）甲供材料由招标人提供，其他材料由中标人自行采购，</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其中甲供材料（如有）：</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u w:val="single"/>
        </w:rPr>
        <w:t xml:space="preserve">         </w:t>
      </w:r>
    </w:p>
    <w:p>
      <w:pPr>
        <w:numPr>
          <w:ilvl w:val="0"/>
          <w:numId w:val="0"/>
        </w:num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20"/>
          <w:sz w:val="24"/>
          <w:szCs w:val="24"/>
          <w:lang w:val="en-US" w:eastAsia="zh-CN" w:bidi="ar-SA"/>
        </w:rPr>
        <w:t>（2）</w:t>
      </w:r>
      <w:r>
        <w:rPr>
          <w:rFonts w:hint="eastAsia" w:ascii="宋体" w:hAnsi="宋体" w:eastAsia="宋体" w:cs="宋体"/>
          <w:color w:val="000000"/>
          <w:sz w:val="24"/>
          <w:szCs w:val="24"/>
        </w:rPr>
        <w:t>参考品牌：</w:t>
      </w:r>
      <w:r>
        <w:rPr>
          <w:rFonts w:hint="eastAsia" w:ascii="宋体" w:hAnsi="宋体" w:eastAsia="宋体" w:cs="宋体"/>
          <w:color w:val="000000"/>
          <w:sz w:val="24"/>
          <w:szCs w:val="24"/>
          <w:lang w:val="en-US" w:eastAsia="zh-CN"/>
        </w:rPr>
        <w:t>无。</w:t>
      </w:r>
    </w:p>
    <w:p>
      <w:pPr>
        <w:numPr>
          <w:ilvl w:val="0"/>
          <w:numId w:val="0"/>
        </w:num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注：参考品牌不得少于三个，对于招标人参考品牌的材料、设备，投标人可选用参考品牌或不低于参考品牌技术性能指标的其他品牌；采用其他品牌的应在报价文件《招标人参考的材料品牌响应表》中注明并提供相关技术性能指标、业绩等供评标委员会评审，未在《招标人参考的材料品牌响应表》中注明且未提供相关技术性能指标、业绩，或经评标委员会评审未通过的，中标后只能从招标人参考品牌中进行选择，合同价格不予调整。</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如图纸中出现特定性、唯一性品牌的表述，该品牌仅作为参考，施工过程中不具有限定性。</w:t>
      </w:r>
    </w:p>
    <w:p>
      <w:pPr>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sz w:val="24"/>
          <w:szCs w:val="24"/>
        </w:rPr>
      </w:pPr>
      <w:bookmarkStart w:id="56" w:name="_Toc128950262"/>
      <w:bookmarkStart w:id="57" w:name="_Toc5973"/>
      <w:bookmarkStart w:id="58" w:name="_Toc32732"/>
      <w:r>
        <w:rPr>
          <w:rFonts w:hint="eastAsia" w:ascii="宋体" w:hAnsi="宋体" w:eastAsia="宋体" w:cs="宋体"/>
          <w:color w:val="000000"/>
          <w:sz w:val="24"/>
          <w:szCs w:val="24"/>
        </w:rPr>
        <w:t>其他</w:t>
      </w:r>
      <w:bookmarkEnd w:id="56"/>
      <w:bookmarkEnd w:id="57"/>
      <w:bookmarkEnd w:id="58"/>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bCs/>
          <w:snapToGrid w:val="0"/>
          <w:color w:val="000000"/>
          <w:sz w:val="24"/>
          <w:szCs w:val="24"/>
          <w:highlight w:val="none"/>
        </w:rPr>
      </w:pPr>
      <w:r>
        <w:rPr>
          <w:rFonts w:hint="eastAsia" w:ascii="宋体" w:hAnsi="宋体" w:eastAsia="宋体" w:cs="宋体"/>
          <w:bCs/>
          <w:snapToGrid w:val="0"/>
          <w:color w:val="000000"/>
          <w:sz w:val="24"/>
          <w:szCs w:val="24"/>
          <w:highlight w:val="none"/>
          <w:lang w:eastAsia="zh-CN"/>
        </w:rPr>
        <w:t>☑</w:t>
      </w:r>
      <w:r>
        <w:rPr>
          <w:rFonts w:hint="eastAsia" w:ascii="宋体" w:hAnsi="宋体" w:eastAsia="宋体" w:cs="宋体"/>
          <w:bCs/>
          <w:snapToGrid w:val="0"/>
          <w:color w:val="000000"/>
          <w:sz w:val="24"/>
          <w:szCs w:val="24"/>
          <w:highlight w:val="none"/>
        </w:rPr>
        <w:t>本工程采用商品砼。</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bCs/>
          <w:snapToGrid w:val="0"/>
          <w:color w:val="000000"/>
          <w:sz w:val="24"/>
          <w:szCs w:val="24"/>
          <w:highlight w:val="none"/>
        </w:rPr>
      </w:pPr>
      <w:r>
        <w:rPr>
          <w:rFonts w:hint="eastAsia" w:ascii="宋体" w:hAnsi="宋体" w:eastAsia="宋体" w:cs="宋体"/>
          <w:bCs/>
          <w:snapToGrid w:val="0"/>
          <w:color w:val="000000"/>
          <w:sz w:val="24"/>
          <w:szCs w:val="24"/>
          <w:highlight w:val="none"/>
          <w:lang w:eastAsia="zh-CN"/>
        </w:rPr>
        <w:t>☑</w:t>
      </w:r>
      <w:r>
        <w:rPr>
          <w:rFonts w:hint="eastAsia" w:ascii="宋体" w:hAnsi="宋体" w:eastAsia="宋体" w:cs="宋体"/>
          <w:bCs/>
          <w:snapToGrid w:val="0"/>
          <w:color w:val="000000"/>
          <w:sz w:val="24"/>
          <w:szCs w:val="24"/>
          <w:highlight w:val="none"/>
        </w:rPr>
        <w:t>本项目采用预拌砂浆。</w:t>
      </w:r>
    </w:p>
    <w:p>
      <w:pPr>
        <w:pStyle w:val="7"/>
        <w:jc w:val="center"/>
        <w:rPr>
          <w:rFonts w:hint="eastAsia" w:ascii="宋体" w:hAnsi="宋体" w:eastAsia="宋体" w:cs="宋体"/>
          <w:b/>
          <w:bCs/>
        </w:rPr>
      </w:pPr>
      <w:bookmarkStart w:id="59" w:name="_Toc130919138"/>
      <w:r>
        <w:rPr>
          <w:rFonts w:hint="eastAsia" w:ascii="宋体" w:hAnsi="宋体" w:eastAsia="宋体" w:cs="宋体"/>
          <w:b/>
          <w:bCs/>
          <w:color w:val="000000"/>
        </w:rPr>
        <w:t>第八章  投标文件格式</w:t>
      </w:r>
      <w:bookmarkEnd w:id="59"/>
    </w:p>
    <w:p>
      <w:pPr>
        <w:spacing w:line="500" w:lineRule="exact"/>
        <w:jc w:val="right"/>
        <w:rPr>
          <w:rFonts w:hint="default" w:ascii="Times New Roman" w:hAnsi="Times New Roman" w:eastAsia="宋体" w:cs="Times New Roman"/>
          <w:b/>
          <w:color w:val="auto"/>
          <w:sz w:val="32"/>
          <w:highlight w:val="none"/>
        </w:rPr>
      </w:pPr>
      <w:r>
        <w:rPr>
          <w:rFonts w:hint="default" w:ascii="Times New Roman" w:hAnsi="Times New Roman" w:eastAsia="宋体" w:cs="Times New Roman"/>
          <w:b/>
          <w:color w:val="auto"/>
          <w:sz w:val="32"/>
          <w:highlight w:val="none"/>
        </w:rPr>
        <w:t>【正/副本】</w:t>
      </w:r>
    </w:p>
    <w:p>
      <w:pPr>
        <w:spacing w:line="500" w:lineRule="exact"/>
        <w:jc w:val="center"/>
        <w:rPr>
          <w:rFonts w:hint="default" w:ascii="Times New Roman" w:hAnsi="Times New Roman" w:eastAsia="宋体" w:cs="Times New Roman"/>
          <w:b/>
          <w:color w:val="auto"/>
          <w:sz w:val="32"/>
          <w:highlight w:val="none"/>
        </w:rPr>
      </w:pPr>
    </w:p>
    <w:p>
      <w:pPr>
        <w:spacing w:line="500" w:lineRule="exact"/>
        <w:jc w:val="center"/>
        <w:rPr>
          <w:rFonts w:hint="default" w:ascii="Times New Roman" w:hAnsi="Times New Roman" w:eastAsia="宋体" w:cs="Times New Roman"/>
          <w:b/>
          <w:color w:val="auto"/>
          <w:sz w:val="36"/>
          <w:szCs w:val="21"/>
          <w:highlight w:val="none"/>
        </w:rPr>
      </w:pPr>
      <w:r>
        <w:rPr>
          <w:rFonts w:hint="eastAsia" w:ascii="Times New Roman" w:hAnsi="Times New Roman" w:eastAsia="宋体" w:cs="Times New Roman"/>
          <w:b/>
          <w:color w:val="auto"/>
          <w:sz w:val="36"/>
          <w:szCs w:val="21"/>
          <w:highlight w:val="none"/>
          <w:lang w:val="en-US" w:eastAsia="zh-CN"/>
        </w:rPr>
        <w:t>世纪南书房装修改造</w:t>
      </w:r>
    </w:p>
    <w:p>
      <w:pPr>
        <w:spacing w:line="900" w:lineRule="exact"/>
        <w:jc w:val="center"/>
        <w:rPr>
          <w:rFonts w:hint="default" w:ascii="Times New Roman" w:hAnsi="Times New Roman" w:eastAsia="宋体" w:cs="Times New Roman"/>
          <w:b/>
          <w:color w:val="auto"/>
          <w:sz w:val="72"/>
          <w:highlight w:val="none"/>
        </w:rPr>
      </w:pPr>
    </w:p>
    <w:p>
      <w:pPr>
        <w:spacing w:line="900" w:lineRule="exact"/>
        <w:jc w:val="center"/>
        <w:rPr>
          <w:rFonts w:hint="default" w:ascii="Times New Roman" w:hAnsi="Times New Roman" w:eastAsia="宋体" w:cs="Times New Roman"/>
          <w:b/>
          <w:color w:val="auto"/>
          <w:sz w:val="72"/>
          <w:highlight w:val="none"/>
        </w:rPr>
      </w:pPr>
      <w:r>
        <w:rPr>
          <w:rFonts w:hint="default" w:ascii="Times New Roman" w:hAnsi="Times New Roman" w:eastAsia="宋体" w:cs="Times New Roman"/>
          <w:b/>
          <w:color w:val="auto"/>
          <w:sz w:val="72"/>
          <w:highlight w:val="none"/>
        </w:rPr>
        <w:t>投</w:t>
      </w:r>
    </w:p>
    <w:p>
      <w:pPr>
        <w:spacing w:line="900" w:lineRule="exact"/>
        <w:jc w:val="center"/>
        <w:rPr>
          <w:rFonts w:hint="default" w:ascii="Times New Roman" w:hAnsi="Times New Roman" w:eastAsia="宋体" w:cs="Times New Roman"/>
          <w:b/>
          <w:color w:val="auto"/>
          <w:sz w:val="72"/>
          <w:highlight w:val="none"/>
        </w:rPr>
      </w:pPr>
    </w:p>
    <w:p>
      <w:pPr>
        <w:spacing w:line="900" w:lineRule="exact"/>
        <w:jc w:val="center"/>
        <w:rPr>
          <w:rFonts w:hint="default" w:ascii="Times New Roman" w:hAnsi="Times New Roman" w:eastAsia="宋体" w:cs="Times New Roman"/>
          <w:b/>
          <w:color w:val="auto"/>
          <w:sz w:val="72"/>
          <w:highlight w:val="none"/>
        </w:rPr>
      </w:pPr>
      <w:r>
        <w:rPr>
          <w:rFonts w:hint="default" w:ascii="Times New Roman" w:hAnsi="Times New Roman" w:eastAsia="宋体" w:cs="Times New Roman"/>
          <w:b/>
          <w:color w:val="auto"/>
          <w:sz w:val="72"/>
          <w:highlight w:val="none"/>
        </w:rPr>
        <w:t>标</w:t>
      </w:r>
    </w:p>
    <w:p>
      <w:pPr>
        <w:spacing w:line="900" w:lineRule="exact"/>
        <w:jc w:val="center"/>
        <w:rPr>
          <w:rFonts w:hint="default" w:ascii="Times New Roman" w:hAnsi="Times New Roman" w:eastAsia="宋体" w:cs="Times New Roman"/>
          <w:b/>
          <w:color w:val="auto"/>
          <w:sz w:val="72"/>
          <w:highlight w:val="none"/>
        </w:rPr>
      </w:pPr>
    </w:p>
    <w:p>
      <w:pPr>
        <w:spacing w:line="900" w:lineRule="exact"/>
        <w:jc w:val="center"/>
        <w:rPr>
          <w:rFonts w:hint="default" w:ascii="Times New Roman" w:hAnsi="Times New Roman" w:eastAsia="宋体" w:cs="Times New Roman"/>
          <w:b/>
          <w:color w:val="auto"/>
          <w:sz w:val="72"/>
          <w:highlight w:val="none"/>
        </w:rPr>
      </w:pPr>
      <w:r>
        <w:rPr>
          <w:rFonts w:hint="default" w:ascii="Times New Roman" w:hAnsi="Times New Roman" w:eastAsia="宋体" w:cs="Times New Roman"/>
          <w:b/>
          <w:color w:val="auto"/>
          <w:sz w:val="72"/>
          <w:highlight w:val="none"/>
        </w:rPr>
        <w:t>文</w:t>
      </w:r>
    </w:p>
    <w:p>
      <w:pPr>
        <w:spacing w:line="900" w:lineRule="exact"/>
        <w:jc w:val="center"/>
        <w:rPr>
          <w:rFonts w:hint="default" w:ascii="Times New Roman" w:hAnsi="Times New Roman" w:eastAsia="宋体" w:cs="Times New Roman"/>
          <w:b/>
          <w:color w:val="auto"/>
          <w:sz w:val="72"/>
          <w:highlight w:val="none"/>
        </w:rPr>
      </w:pPr>
    </w:p>
    <w:p>
      <w:pPr>
        <w:jc w:val="center"/>
        <w:rPr>
          <w:rFonts w:hint="default" w:ascii="Times New Roman" w:hAnsi="Times New Roman" w:eastAsia="宋体" w:cs="Times New Roman"/>
          <w:b/>
          <w:color w:val="auto"/>
          <w:sz w:val="72"/>
          <w:highlight w:val="none"/>
        </w:rPr>
      </w:pPr>
      <w:r>
        <w:rPr>
          <w:rFonts w:hint="default" w:ascii="Times New Roman" w:hAnsi="Times New Roman" w:eastAsia="宋体" w:cs="Times New Roman"/>
          <w:b/>
          <w:color w:val="auto"/>
          <w:sz w:val="72"/>
          <w:highlight w:val="none"/>
        </w:rPr>
        <w:t>件</w:t>
      </w:r>
    </w:p>
    <w:p>
      <w:pPr>
        <w:spacing w:after="156" w:afterLines="50" w:line="500" w:lineRule="exact"/>
        <w:jc w:val="both"/>
        <w:rPr>
          <w:rFonts w:hint="default" w:ascii="Times New Roman" w:hAnsi="Times New Roman" w:eastAsia="宋体" w:cs="Times New Roman"/>
          <w:b/>
          <w:color w:val="auto"/>
          <w:sz w:val="72"/>
          <w:highlight w:val="none"/>
        </w:rPr>
      </w:pPr>
    </w:p>
    <w:p>
      <w:pPr>
        <w:spacing w:after="156" w:afterLines="50" w:line="500" w:lineRule="exact"/>
        <w:jc w:val="center"/>
        <w:rPr>
          <w:rFonts w:hint="default" w:ascii="Times New Roman" w:hAnsi="Times New Roman" w:eastAsia="宋体" w:cs="Times New Roman"/>
          <w:b/>
          <w:color w:val="auto"/>
          <w:sz w:val="32"/>
          <w:highlight w:val="none"/>
          <w:u w:val="single"/>
        </w:rPr>
      </w:pPr>
      <w:r>
        <w:rPr>
          <w:rFonts w:hint="default" w:ascii="Times New Roman" w:hAnsi="Times New Roman" w:eastAsia="宋体" w:cs="Times New Roman"/>
          <w:b/>
          <w:color w:val="auto"/>
          <w:sz w:val="32"/>
          <w:highlight w:val="none"/>
        </w:rPr>
        <w:t>投标人：</w:t>
      </w:r>
      <w:r>
        <w:rPr>
          <w:rFonts w:hint="default" w:ascii="Times New Roman" w:hAnsi="Times New Roman" w:eastAsia="宋体" w:cs="Times New Roman"/>
          <w:b/>
          <w:color w:val="auto"/>
          <w:sz w:val="32"/>
          <w:highlight w:val="none"/>
          <w:u w:val="single"/>
        </w:rPr>
        <w:t xml:space="preserve">               </w:t>
      </w:r>
      <w:r>
        <w:rPr>
          <w:rFonts w:hint="default" w:ascii="Times New Roman" w:hAnsi="Times New Roman" w:eastAsia="宋体" w:cs="Times New Roman"/>
          <w:b/>
          <w:color w:val="auto"/>
          <w:sz w:val="32"/>
          <w:highlight w:val="none"/>
        </w:rPr>
        <w:t>（加盖投标人公章）</w:t>
      </w:r>
    </w:p>
    <w:p>
      <w:pPr>
        <w:spacing w:after="156" w:afterLines="50" w:line="500" w:lineRule="exact"/>
        <w:ind w:firstLine="660"/>
        <w:jc w:val="center"/>
        <w:rPr>
          <w:rFonts w:hint="default" w:ascii="Times New Roman" w:hAnsi="Times New Roman" w:eastAsia="宋体" w:cs="Times New Roman"/>
          <w:b/>
          <w:color w:val="auto"/>
          <w:sz w:val="32"/>
          <w:highlight w:val="none"/>
        </w:rPr>
      </w:pPr>
      <w:r>
        <w:rPr>
          <w:rFonts w:hint="default" w:ascii="Times New Roman" w:hAnsi="Times New Roman" w:eastAsia="宋体" w:cs="Times New Roman"/>
          <w:b/>
          <w:color w:val="auto"/>
          <w:sz w:val="32"/>
          <w:highlight w:val="none"/>
          <w:u w:val="single"/>
        </w:rPr>
        <w:t xml:space="preserve">    </w:t>
      </w:r>
      <w:r>
        <w:rPr>
          <w:rFonts w:hint="default" w:ascii="Times New Roman" w:hAnsi="Times New Roman" w:eastAsia="宋体" w:cs="Times New Roman"/>
          <w:b/>
          <w:color w:val="auto"/>
          <w:sz w:val="32"/>
          <w:highlight w:val="none"/>
        </w:rPr>
        <w:t>年</w:t>
      </w:r>
      <w:r>
        <w:rPr>
          <w:rFonts w:hint="default" w:ascii="Times New Roman" w:hAnsi="Times New Roman" w:eastAsia="宋体" w:cs="Times New Roman"/>
          <w:b/>
          <w:color w:val="auto"/>
          <w:sz w:val="32"/>
          <w:highlight w:val="none"/>
          <w:u w:val="single"/>
        </w:rPr>
        <w:t xml:space="preserve">    </w:t>
      </w:r>
      <w:r>
        <w:rPr>
          <w:rFonts w:hint="default" w:ascii="Times New Roman" w:hAnsi="Times New Roman" w:eastAsia="宋体" w:cs="Times New Roman"/>
          <w:b/>
          <w:color w:val="auto"/>
          <w:sz w:val="32"/>
          <w:highlight w:val="none"/>
        </w:rPr>
        <w:t>月</w:t>
      </w:r>
      <w:r>
        <w:rPr>
          <w:rFonts w:hint="default" w:ascii="Times New Roman" w:hAnsi="Times New Roman" w:eastAsia="宋体" w:cs="Times New Roman"/>
          <w:b/>
          <w:color w:val="auto"/>
          <w:sz w:val="32"/>
          <w:highlight w:val="none"/>
          <w:u w:val="single"/>
        </w:rPr>
        <w:t xml:space="preserve">    </w:t>
      </w:r>
      <w:r>
        <w:rPr>
          <w:rFonts w:hint="default" w:ascii="Times New Roman" w:hAnsi="Times New Roman" w:eastAsia="宋体" w:cs="Times New Roman"/>
          <w:b/>
          <w:color w:val="auto"/>
          <w:sz w:val="32"/>
          <w:highlight w:val="none"/>
        </w:rPr>
        <w:t>日</w:t>
      </w:r>
    </w:p>
    <w:p>
      <w:pPr>
        <w:widowControl/>
        <w:jc w:val="left"/>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8"/>
          <w:highlight w:val="none"/>
        </w:rPr>
        <w:br w:type="page"/>
      </w:r>
    </w:p>
    <w:p>
      <w:pPr>
        <w:pStyle w:val="14"/>
        <w:spacing w:line="0" w:lineRule="atLeast"/>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8"/>
          <w:highlight w:val="none"/>
        </w:rPr>
        <w:t>投标文件资料清单</w:t>
      </w:r>
    </w:p>
    <w:p>
      <w:pPr>
        <w:spacing w:line="360" w:lineRule="auto"/>
        <w:ind w:firstLine="3614" w:firstLineChars="1500"/>
        <w:jc w:val="both"/>
        <w:outlineLvl w:val="2"/>
        <w:rPr>
          <w:rFonts w:hint="default" w:ascii="Times New Roman" w:hAnsi="Times New Roman" w:eastAsia="宋体" w:cs="Times New Roman"/>
          <w:b/>
          <w:color w:val="auto"/>
          <w:sz w:val="24"/>
          <w:highlight w:val="none"/>
        </w:rPr>
      </w:pPr>
      <w:bookmarkStart w:id="60" w:name="_Toc507694547"/>
      <w:bookmarkStart w:id="61" w:name="_Toc477794142"/>
      <w:r>
        <w:rPr>
          <w:rFonts w:hint="default" w:ascii="Times New Roman" w:hAnsi="Times New Roman" w:eastAsia="宋体" w:cs="Times New Roman"/>
          <w:b/>
          <w:color w:val="auto"/>
          <w:sz w:val="24"/>
          <w:highlight w:val="none"/>
        </w:rPr>
        <w:t xml:space="preserve"> 投标文件格式</w:t>
      </w:r>
      <w:bookmarkEnd w:id="60"/>
      <w:bookmarkEnd w:id="61"/>
    </w:p>
    <w:tbl>
      <w:tblPr>
        <w:tblStyle w:val="16"/>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5493"/>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序号</w:t>
            </w:r>
          </w:p>
        </w:tc>
        <w:tc>
          <w:tcPr>
            <w:tcW w:w="5493"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资料名称</w:t>
            </w:r>
          </w:p>
        </w:tc>
        <w:tc>
          <w:tcPr>
            <w:tcW w:w="2641"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noWrap w:val="0"/>
            <w:vAlign w:val="center"/>
          </w:tcPr>
          <w:p>
            <w:pPr>
              <w:spacing w:line="360" w:lineRule="auto"/>
              <w:jc w:val="center"/>
              <w:outlineLvl w:val="2"/>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lang w:val="en-US" w:eastAsia="zh-CN"/>
              </w:rPr>
              <w:t>一</w:t>
            </w:r>
          </w:p>
        </w:tc>
        <w:tc>
          <w:tcPr>
            <w:tcW w:w="5493"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val="en-US" w:eastAsia="zh-CN"/>
              </w:rPr>
              <w:t>开标一览</w:t>
            </w:r>
            <w:r>
              <w:rPr>
                <w:rFonts w:hint="default" w:ascii="Times New Roman" w:hAnsi="Times New Roman" w:eastAsia="宋体" w:cs="Times New Roman"/>
                <w:b/>
                <w:color w:val="auto"/>
                <w:sz w:val="24"/>
                <w:highlight w:val="none"/>
              </w:rPr>
              <w:t>表</w:t>
            </w:r>
          </w:p>
        </w:tc>
        <w:tc>
          <w:tcPr>
            <w:tcW w:w="2641"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noWrap w:val="0"/>
            <w:vAlign w:val="center"/>
          </w:tcPr>
          <w:p>
            <w:pPr>
              <w:spacing w:line="360" w:lineRule="auto"/>
              <w:jc w:val="center"/>
              <w:outlineLvl w:val="2"/>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lang w:val="en-US" w:eastAsia="zh-CN"/>
              </w:rPr>
              <w:t>二</w:t>
            </w:r>
          </w:p>
        </w:tc>
        <w:tc>
          <w:tcPr>
            <w:tcW w:w="5493"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投标函</w:t>
            </w:r>
          </w:p>
        </w:tc>
        <w:tc>
          <w:tcPr>
            <w:tcW w:w="2641"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noWrap w:val="0"/>
            <w:vAlign w:val="center"/>
          </w:tcPr>
          <w:p>
            <w:pPr>
              <w:spacing w:line="360" w:lineRule="auto"/>
              <w:jc w:val="center"/>
              <w:outlineLvl w:val="2"/>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lang w:val="en-US" w:eastAsia="zh-CN"/>
              </w:rPr>
              <w:t>三</w:t>
            </w:r>
          </w:p>
        </w:tc>
        <w:tc>
          <w:tcPr>
            <w:tcW w:w="5493"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投标人信用承诺</w:t>
            </w:r>
          </w:p>
        </w:tc>
        <w:tc>
          <w:tcPr>
            <w:tcW w:w="2641"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noWrap w:val="0"/>
            <w:vAlign w:val="center"/>
          </w:tcPr>
          <w:p>
            <w:pPr>
              <w:spacing w:line="360" w:lineRule="auto"/>
              <w:jc w:val="center"/>
              <w:outlineLvl w:val="2"/>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lang w:val="en-US" w:eastAsia="zh-CN"/>
              </w:rPr>
              <w:t>四</w:t>
            </w:r>
          </w:p>
        </w:tc>
        <w:tc>
          <w:tcPr>
            <w:tcW w:w="5493"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投标业绩承诺函</w:t>
            </w:r>
          </w:p>
        </w:tc>
        <w:tc>
          <w:tcPr>
            <w:tcW w:w="2641"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65" w:type="dxa"/>
            <w:noWrap w:val="0"/>
            <w:vAlign w:val="center"/>
          </w:tcPr>
          <w:p>
            <w:pPr>
              <w:spacing w:line="360" w:lineRule="auto"/>
              <w:jc w:val="center"/>
              <w:outlineLvl w:val="2"/>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lang w:val="en-US" w:eastAsia="zh-CN"/>
              </w:rPr>
              <w:t>五</w:t>
            </w:r>
          </w:p>
        </w:tc>
        <w:tc>
          <w:tcPr>
            <w:tcW w:w="5493"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拟投入本项目的人员情况</w:t>
            </w:r>
          </w:p>
        </w:tc>
        <w:tc>
          <w:tcPr>
            <w:tcW w:w="2641"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165" w:type="dxa"/>
            <w:noWrap w:val="0"/>
            <w:vAlign w:val="center"/>
          </w:tcPr>
          <w:p>
            <w:pPr>
              <w:spacing w:line="360" w:lineRule="auto"/>
              <w:jc w:val="center"/>
              <w:outlineLvl w:val="2"/>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lang w:val="en-US" w:eastAsia="zh-CN"/>
              </w:rPr>
              <w:t>六</w:t>
            </w:r>
          </w:p>
        </w:tc>
        <w:tc>
          <w:tcPr>
            <w:tcW w:w="5493"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lang w:val="en-US" w:eastAsia="zh-CN"/>
              </w:rPr>
              <w:t>施工</w:t>
            </w:r>
            <w:r>
              <w:rPr>
                <w:rFonts w:hint="default" w:ascii="Times New Roman" w:hAnsi="Times New Roman" w:eastAsia="宋体" w:cs="Times New Roman"/>
                <w:b/>
                <w:color w:val="auto"/>
                <w:sz w:val="24"/>
                <w:highlight w:val="none"/>
              </w:rPr>
              <w:t>方案</w:t>
            </w:r>
          </w:p>
        </w:tc>
        <w:tc>
          <w:tcPr>
            <w:tcW w:w="2641"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65" w:type="dxa"/>
            <w:noWrap w:val="0"/>
            <w:vAlign w:val="center"/>
          </w:tcPr>
          <w:p>
            <w:pPr>
              <w:spacing w:line="360" w:lineRule="auto"/>
              <w:jc w:val="center"/>
              <w:outlineLvl w:val="2"/>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lang w:val="en-US" w:eastAsia="zh-CN"/>
              </w:rPr>
              <w:t>七</w:t>
            </w:r>
          </w:p>
        </w:tc>
        <w:tc>
          <w:tcPr>
            <w:tcW w:w="5493"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承诺函</w:t>
            </w:r>
          </w:p>
        </w:tc>
        <w:tc>
          <w:tcPr>
            <w:tcW w:w="2641"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165" w:type="dxa"/>
            <w:noWrap w:val="0"/>
            <w:vAlign w:val="center"/>
          </w:tcPr>
          <w:p>
            <w:pPr>
              <w:spacing w:line="360" w:lineRule="auto"/>
              <w:jc w:val="center"/>
              <w:outlineLvl w:val="2"/>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lang w:val="en-US" w:eastAsia="zh-CN"/>
              </w:rPr>
              <w:t>八</w:t>
            </w:r>
          </w:p>
        </w:tc>
        <w:tc>
          <w:tcPr>
            <w:tcW w:w="5493"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有关证明文件</w:t>
            </w:r>
          </w:p>
        </w:tc>
        <w:tc>
          <w:tcPr>
            <w:tcW w:w="2641"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65" w:type="dxa"/>
            <w:noWrap w:val="0"/>
            <w:vAlign w:val="center"/>
          </w:tcPr>
          <w:p>
            <w:pPr>
              <w:spacing w:line="360" w:lineRule="auto"/>
              <w:jc w:val="center"/>
              <w:outlineLvl w:val="2"/>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lang w:val="en-US" w:eastAsia="zh-CN"/>
              </w:rPr>
              <w:t>九</w:t>
            </w:r>
          </w:p>
        </w:tc>
        <w:tc>
          <w:tcPr>
            <w:tcW w:w="5493"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投标授权书</w:t>
            </w:r>
          </w:p>
        </w:tc>
        <w:tc>
          <w:tcPr>
            <w:tcW w:w="2641"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165" w:type="dxa"/>
            <w:noWrap w:val="0"/>
            <w:vAlign w:val="center"/>
          </w:tcPr>
          <w:p>
            <w:pPr>
              <w:spacing w:line="360" w:lineRule="auto"/>
              <w:jc w:val="center"/>
              <w:outlineLvl w:val="2"/>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rPr>
              <w:t>十</w:t>
            </w:r>
          </w:p>
        </w:tc>
        <w:tc>
          <w:tcPr>
            <w:tcW w:w="5493"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投标人认为需提供的其他资料</w:t>
            </w:r>
          </w:p>
        </w:tc>
        <w:tc>
          <w:tcPr>
            <w:tcW w:w="2641" w:type="dxa"/>
            <w:noWrap w:val="0"/>
            <w:vAlign w:val="center"/>
          </w:tcPr>
          <w:p>
            <w:pPr>
              <w:spacing w:line="360" w:lineRule="auto"/>
              <w:jc w:val="center"/>
              <w:outlineLvl w:val="2"/>
              <w:rPr>
                <w:rFonts w:hint="default" w:ascii="Times New Roman" w:hAnsi="Times New Roman" w:eastAsia="宋体" w:cs="Times New Roman"/>
                <w:b/>
                <w:color w:val="auto"/>
                <w:sz w:val="24"/>
                <w:highlight w:val="none"/>
              </w:rPr>
            </w:pPr>
          </w:p>
        </w:tc>
      </w:tr>
    </w:tbl>
    <w:p>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br w:type="page"/>
      </w:r>
    </w:p>
    <w:p>
      <w:pPr>
        <w:pStyle w:val="23"/>
        <w:numPr>
          <w:ilvl w:val="0"/>
          <w:numId w:val="4"/>
        </w:numPr>
        <w:spacing w:line="360" w:lineRule="auto"/>
        <w:ind w:firstLineChars="0"/>
        <w:jc w:val="center"/>
        <w:outlineLvl w:val="2"/>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lang w:val="en-US" w:eastAsia="zh-CN"/>
        </w:rPr>
        <w:t>开标一览表</w:t>
      </w:r>
    </w:p>
    <w:p>
      <w:pPr>
        <w:pStyle w:val="23"/>
        <w:numPr>
          <w:ilvl w:val="0"/>
          <w:numId w:val="0"/>
        </w:numPr>
        <w:spacing w:line="360" w:lineRule="auto"/>
        <w:ind w:left="720" w:leftChars="0"/>
        <w:jc w:val="center"/>
        <w:outlineLvl w:val="2"/>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lang w:val="en-US" w:eastAsia="zh-CN"/>
        </w:rPr>
        <w:t>1-1</w:t>
      </w:r>
      <w:r>
        <w:rPr>
          <w:rFonts w:hint="default" w:ascii="Times New Roman" w:hAnsi="Times New Roman" w:eastAsia="宋体" w:cs="Times New Roman"/>
          <w:b/>
          <w:color w:val="auto"/>
          <w:sz w:val="28"/>
          <w:szCs w:val="28"/>
          <w:highlight w:val="none"/>
        </w:rPr>
        <w:t>开标一览表</w:t>
      </w:r>
    </w:p>
    <w:tbl>
      <w:tblPr>
        <w:tblStyle w:val="16"/>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项目名称</w:t>
            </w:r>
          </w:p>
        </w:tc>
        <w:tc>
          <w:tcPr>
            <w:tcW w:w="6667" w:type="dxa"/>
            <w:tcBorders>
              <w:top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eastAsia="宋体" w:cs="Times New Roman"/>
                <w:color w:val="auto"/>
                <w:sz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71" w:type="dxa"/>
            <w:tcBorders>
              <w:top w:val="nil"/>
            </w:tcBorders>
            <w:noWrap w:val="0"/>
            <w:vAlign w:val="center"/>
          </w:tcPr>
          <w:p>
            <w:pPr>
              <w:spacing w:line="360" w:lineRule="auto"/>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投标人全称</w:t>
            </w:r>
          </w:p>
        </w:tc>
        <w:tc>
          <w:tcPr>
            <w:tcW w:w="6667" w:type="dxa"/>
            <w:tcBorders>
              <w:top w:val="nil"/>
            </w:tcBorders>
            <w:noWrap w:val="0"/>
            <w:vAlign w:val="center"/>
          </w:tcPr>
          <w:p>
            <w:pPr>
              <w:spacing w:line="360" w:lineRule="auto"/>
              <w:rPr>
                <w:rFonts w:hint="default"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auto"/>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投标范围</w:t>
            </w:r>
          </w:p>
        </w:tc>
        <w:tc>
          <w:tcPr>
            <w:tcW w:w="6667" w:type="dxa"/>
            <w:tcBorders>
              <w:top w:val="nil"/>
            </w:tcBorders>
            <w:noWrap w:val="0"/>
            <w:vAlign w:val="center"/>
          </w:tcPr>
          <w:p>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auto"/>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最终服务费投标报价</w:t>
            </w:r>
          </w:p>
          <w:p>
            <w:pPr>
              <w:spacing w:line="360" w:lineRule="auto"/>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（人民币）</w:t>
            </w:r>
          </w:p>
        </w:tc>
        <w:tc>
          <w:tcPr>
            <w:tcW w:w="6667" w:type="dxa"/>
            <w:tcBorders>
              <w:top w:val="nil"/>
            </w:tcBorders>
            <w:noWrap w:val="0"/>
            <w:vAlign w:val="center"/>
          </w:tcPr>
          <w:p>
            <w:pPr>
              <w:spacing w:line="360" w:lineRule="auto"/>
              <w:rPr>
                <w:rFonts w:hint="default" w:ascii="Times New Roman" w:hAnsi="Times New Roman" w:eastAsia="宋体" w:cs="Times New Roman"/>
                <w:color w:val="auto"/>
                <w:sz w:val="24"/>
                <w:highlight w:val="none"/>
              </w:rPr>
            </w:pPr>
          </w:p>
          <w:p>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w:t>
            </w:r>
          </w:p>
          <w:p>
            <w:pPr>
              <w:spacing w:line="360" w:lineRule="auto"/>
              <w:rPr>
                <w:rFonts w:hint="default"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auto"/>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是否响应招标文件物业部分定价标准</w:t>
            </w:r>
          </w:p>
        </w:tc>
        <w:tc>
          <w:tcPr>
            <w:tcW w:w="6667" w:type="dxa"/>
            <w:tcBorders>
              <w:top w:val="nil"/>
            </w:tcBorders>
            <w:noWrap w:val="0"/>
            <w:vAlign w:val="center"/>
          </w:tcPr>
          <w:p>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2" w:hRule="atLeast"/>
          <w:jc w:val="center"/>
        </w:trPr>
        <w:tc>
          <w:tcPr>
            <w:tcW w:w="2471" w:type="dxa"/>
            <w:tcBorders>
              <w:top w:val="nil"/>
            </w:tcBorders>
            <w:noWrap w:val="0"/>
            <w:vAlign w:val="center"/>
          </w:tcPr>
          <w:p>
            <w:pPr>
              <w:spacing w:line="360" w:lineRule="auto"/>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备注</w:t>
            </w:r>
          </w:p>
        </w:tc>
        <w:tc>
          <w:tcPr>
            <w:tcW w:w="6667" w:type="dxa"/>
            <w:tcBorders>
              <w:top w:val="nil"/>
            </w:tcBorders>
            <w:noWrap w:val="0"/>
            <w:vAlign w:val="center"/>
          </w:tcPr>
          <w:p>
            <w:pPr>
              <w:spacing w:line="360" w:lineRule="auto"/>
              <w:rPr>
                <w:rFonts w:hint="default" w:ascii="Times New Roman" w:hAnsi="Times New Roman" w:eastAsia="宋体" w:cs="Times New Roman"/>
                <w:color w:val="auto"/>
                <w:sz w:val="24"/>
                <w:highlight w:val="none"/>
              </w:rPr>
            </w:pPr>
          </w:p>
        </w:tc>
      </w:tr>
    </w:tbl>
    <w:p>
      <w:pPr>
        <w:spacing w:line="360" w:lineRule="auto"/>
        <w:rPr>
          <w:rFonts w:hint="default" w:ascii="Times New Roman" w:hAnsi="Times New Roman" w:eastAsia="宋体" w:cs="Times New Roman"/>
          <w:color w:val="auto"/>
          <w:sz w:val="24"/>
          <w:highlight w:val="none"/>
        </w:rPr>
      </w:pPr>
    </w:p>
    <w:p>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投标人公章：                                           </w:t>
      </w:r>
    </w:p>
    <w:p>
      <w:pPr>
        <w:spacing w:line="360" w:lineRule="auto"/>
        <w:ind w:firstLine="360" w:firstLineChars="150"/>
        <w:rPr>
          <w:rFonts w:hint="default" w:ascii="Times New Roman" w:hAnsi="Times New Roman" w:eastAsia="宋体" w:cs="Times New Roman"/>
          <w:color w:val="auto"/>
          <w:sz w:val="24"/>
          <w:highlight w:val="none"/>
        </w:rPr>
      </w:pPr>
    </w:p>
    <w:p>
      <w:pPr>
        <w:spacing w:line="360" w:lineRule="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备注：</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1.此表用于开标唱标之用。</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2.表中投标报价即为优惠后报价，并作为评审及定标依据。任何有选择或有条件的投标报价，或者表中某一包别填写多个报价，均为无效报价。</w:t>
      </w:r>
    </w:p>
    <w:p>
      <w:pPr>
        <w:widowControl/>
        <w:jc w:val="left"/>
        <w:rPr>
          <w:rFonts w:hint="default" w:ascii="Times New Roman" w:hAnsi="Times New Roman" w:eastAsia="宋体" w:cs="Times New Roman"/>
          <w:color w:val="auto"/>
          <w:sz w:val="24"/>
          <w:highlight w:val="none"/>
        </w:rPr>
      </w:pPr>
    </w:p>
    <w:p>
      <w:pPr>
        <w:widowControl/>
        <w:jc w:val="left"/>
        <w:rPr>
          <w:rFonts w:hint="default" w:ascii="Times New Roman" w:hAnsi="Times New Roman" w:eastAsia="宋体" w:cs="Times New Roman"/>
          <w:color w:val="auto"/>
          <w:sz w:val="24"/>
          <w:highlight w:val="none"/>
        </w:rPr>
      </w:pPr>
    </w:p>
    <w:p>
      <w:pPr>
        <w:spacing w:line="360" w:lineRule="auto"/>
        <w:jc w:val="center"/>
        <w:outlineLvl w:val="2"/>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t>二、投标函</w:t>
      </w:r>
    </w:p>
    <w:p>
      <w:pPr>
        <w:pStyle w:val="11"/>
        <w:spacing w:line="360" w:lineRule="auto"/>
        <w:rPr>
          <w:rFonts w:hint="default" w:ascii="Times New Roman" w:hAnsi="Times New Roman" w:cs="Times New Roman"/>
          <w:color w:val="auto"/>
          <w:sz w:val="24"/>
          <w:highlight w:val="none"/>
        </w:rPr>
      </w:pPr>
    </w:p>
    <w:p>
      <w:pPr>
        <w:pStyle w:val="11"/>
        <w:spacing w:line="360" w:lineRule="auto"/>
        <w:rPr>
          <w:rFonts w:hint="default" w:ascii="Times New Roman" w:hAnsi="Times New Roman" w:eastAsia="@仿宋_GB2312" w:cs="Times New Roman"/>
          <w:color w:val="auto"/>
          <w:highlight w:val="none"/>
          <w:u w:val="single"/>
        </w:rPr>
      </w:pPr>
      <w:r>
        <w:rPr>
          <w:rFonts w:hint="default" w:ascii="Times New Roman" w:hAnsi="Times New Roman" w:cs="Times New Roman"/>
          <w:color w:val="auto"/>
          <w:sz w:val="24"/>
          <w:highlight w:val="none"/>
        </w:rPr>
        <w:t>致：</w:t>
      </w:r>
      <w:r>
        <w:rPr>
          <w:rFonts w:hint="default" w:ascii="Times New Roman" w:hAnsi="Times New Roman" w:cs="Times New Roman"/>
          <w:color w:val="auto"/>
          <w:sz w:val="24"/>
          <w:highlight w:val="none"/>
          <w:u w:val="single"/>
        </w:rPr>
        <w:t>合肥</w:t>
      </w:r>
      <w:r>
        <w:rPr>
          <w:rFonts w:hint="eastAsia" w:ascii="Times New Roman" w:hAnsi="Times New Roman" w:cs="Times New Roman"/>
          <w:color w:val="auto"/>
          <w:sz w:val="24"/>
          <w:highlight w:val="none"/>
          <w:u w:val="single"/>
          <w:lang w:val="en-US" w:eastAsia="zh-CN"/>
        </w:rPr>
        <w:t>包河文广产业投资</w:t>
      </w:r>
      <w:r>
        <w:rPr>
          <w:rFonts w:hint="default" w:ascii="Times New Roman" w:hAnsi="Times New Roman" w:cs="Times New Roman"/>
          <w:color w:val="auto"/>
          <w:sz w:val="24"/>
          <w:highlight w:val="none"/>
          <w:u w:val="single"/>
        </w:rPr>
        <w:t>有限公司</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根据贵方的招标公告和投标邀请，我方兹宣布同意如下：</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1.按招标文件规定提供</w:t>
      </w:r>
      <w:r>
        <w:rPr>
          <w:rFonts w:hint="default" w:ascii="Times New Roman" w:hAnsi="Times New Roman" w:eastAsia="宋体" w:cs="Times New Roman"/>
          <w:color w:val="auto"/>
          <w:sz w:val="24"/>
          <w:highlight w:val="none"/>
          <w:lang w:val="en-US" w:eastAsia="zh-CN"/>
        </w:rPr>
        <w:t>相应服务</w:t>
      </w:r>
      <w:r>
        <w:rPr>
          <w:rFonts w:hint="default" w:ascii="Times New Roman" w:hAnsi="Times New Roman" w:eastAsia="宋体" w:cs="Times New Roman"/>
          <w:color w:val="auto"/>
          <w:sz w:val="24"/>
          <w:highlight w:val="none"/>
        </w:rPr>
        <w:t>，如我方中标，我方承诺愿意按招标文件规定缴纳履约保证金和中标服务费。</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2.我方根据招标文件的规定，严格履行合同的责任和义务。</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3.我方承诺报价</w:t>
      </w:r>
      <w:r>
        <w:rPr>
          <w:rFonts w:hint="default" w:ascii="Times New Roman" w:hAnsi="Times New Roman" w:eastAsia="宋体" w:cs="Times New Roman"/>
          <w:color w:val="auto"/>
          <w:sz w:val="24"/>
          <w:highlight w:val="none"/>
          <w:lang w:val="en-US" w:eastAsia="zh-CN"/>
        </w:rPr>
        <w:t>按照招标文件要求</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我方已详细审核全部招标文件，包括招标文件的澄清或修改（如有），参考资料及有关附件，我方正式认可并遵守本次招标文件，并对招标文件各项条款、规定及要求均无异议。我方知道必须放弃提出含糊不清或误解问题的权利。</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5.我方同意从招标文件规定的开标日期起遵循本招标文件，并在招标文件规定的投标有效期之前均具有约束力。</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我方声明投标文件所提供的一切资料均真实无误、及时、有效，企业运营正常。由于我方提供资料不实而造成的责任和后果由我方承担。我方同意按照贵方提出的要求，提供与投标有关的任何证据、数据或资料。</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7.我方完全理解贵方不一定接受最低报价的投标。</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8.我方对投标文件中所提供资料、文件、证书及证件的真实性和有效性负责。</w:t>
      </w:r>
    </w:p>
    <w:p>
      <w:pPr>
        <w:spacing w:line="360" w:lineRule="auto"/>
        <w:ind w:firstLine="435"/>
        <w:rPr>
          <w:rFonts w:hint="default" w:ascii="Times New Roman" w:hAnsi="Times New Roman" w:eastAsia="宋体" w:cs="Times New Roman"/>
          <w:color w:val="auto"/>
          <w:sz w:val="24"/>
          <w:highlight w:val="none"/>
        </w:rPr>
      </w:pPr>
    </w:p>
    <w:p>
      <w:pPr>
        <w:spacing w:line="360" w:lineRule="auto"/>
        <w:ind w:firstLine="435"/>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rPr>
        <w:t>投标人公章：</w:t>
      </w:r>
      <w:r>
        <w:rPr>
          <w:rFonts w:hint="default" w:ascii="Times New Roman" w:hAnsi="Times New Roman" w:eastAsia="宋体" w:cs="Times New Roman"/>
          <w:color w:val="auto"/>
          <w:sz w:val="24"/>
          <w:highlight w:val="none"/>
          <w:u w:val="single"/>
        </w:rPr>
        <w:t xml:space="preserve">                     </w:t>
      </w:r>
    </w:p>
    <w:p>
      <w:pPr>
        <w:spacing w:line="360" w:lineRule="auto"/>
        <w:ind w:firstLine="435"/>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rPr>
        <w:t>日      期：</w:t>
      </w:r>
      <w:r>
        <w:rPr>
          <w:rFonts w:hint="default" w:ascii="Times New Roman" w:hAnsi="Times New Roman" w:eastAsia="宋体" w:cs="Times New Roman"/>
          <w:color w:val="auto"/>
          <w:sz w:val="24"/>
          <w:highlight w:val="none"/>
          <w:u w:val="single"/>
        </w:rPr>
        <w:t xml:space="preserve">                     </w:t>
      </w:r>
    </w:p>
    <w:p>
      <w:pPr>
        <w:widowControl/>
        <w:jc w:val="left"/>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u w:val="single"/>
        </w:rPr>
        <w:br w:type="page"/>
      </w:r>
    </w:p>
    <w:p>
      <w:pPr>
        <w:spacing w:line="360" w:lineRule="auto"/>
        <w:jc w:val="center"/>
        <w:outlineLvl w:val="2"/>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t>三、无重大违法记录声明函、无不良信用记录声明函</w:t>
      </w:r>
    </w:p>
    <w:p>
      <w:pPr>
        <w:spacing w:line="360" w:lineRule="auto"/>
        <w:jc w:val="center"/>
        <w:rPr>
          <w:rFonts w:hint="default" w:ascii="Times New Roman" w:hAnsi="Times New Roman" w:eastAsia="宋体" w:cs="Times New Roman"/>
          <w:i/>
          <w:color w:val="auto"/>
          <w:sz w:val="24"/>
          <w:highlight w:val="none"/>
        </w:rPr>
      </w:pPr>
      <w:r>
        <w:rPr>
          <w:rFonts w:hint="default" w:ascii="Times New Roman" w:hAnsi="Times New Roman" w:eastAsia="宋体" w:cs="Times New Roman"/>
          <w:i/>
          <w:color w:val="auto"/>
          <w:sz w:val="24"/>
          <w:highlight w:val="none"/>
          <w:lang w:eastAsia="zh-CN"/>
        </w:rPr>
        <w:t>（</w:t>
      </w:r>
      <w:r>
        <w:rPr>
          <w:rFonts w:hint="default" w:ascii="Times New Roman" w:hAnsi="Times New Roman" w:eastAsia="宋体" w:cs="Times New Roman"/>
          <w:i/>
          <w:color w:val="auto"/>
          <w:sz w:val="24"/>
          <w:highlight w:val="none"/>
        </w:rPr>
        <w:t>联合体参加投标的，联合体各方均须提供</w:t>
      </w:r>
      <w:r>
        <w:rPr>
          <w:rFonts w:hint="default" w:ascii="Times New Roman" w:hAnsi="Times New Roman" w:eastAsia="宋体" w:cs="Times New Roman"/>
          <w:i/>
          <w:color w:val="auto"/>
          <w:sz w:val="24"/>
          <w:highlight w:val="none"/>
          <w:lang w:eastAsia="zh-CN"/>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本单位郑重声明，参加采购活动前三年内，本单位在经营活动中没有重大违法记录，没有因违法经营受到刑事处罚或者责令停产停业、吊销许可证或者执照、较大数额罚款等行政处罚，且未在被禁止参加采购活动的处罚期限内。</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2.本单位郑重声明，我单位无以下不良信用记录情形：</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（1）被人民法院列入失信被执行人；</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（2）被税务部门列入重大税收违法案件当事人名单。</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本单位对上述声明的真实性负责。如有虚假，将依法承担相应责任。</w:t>
      </w:r>
    </w:p>
    <w:p>
      <w:pPr>
        <w:spacing w:line="360" w:lineRule="auto"/>
        <w:ind w:firstLine="4800" w:firstLineChars="2000"/>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rPr>
        <w:t>投标人公章：</w:t>
      </w:r>
      <w:r>
        <w:rPr>
          <w:rFonts w:hint="default" w:ascii="Times New Roman" w:hAnsi="Times New Roman" w:eastAsia="宋体" w:cs="Times New Roman"/>
          <w:color w:val="auto"/>
          <w:sz w:val="24"/>
          <w:highlight w:val="none"/>
          <w:u w:val="single"/>
        </w:rPr>
        <w:t xml:space="preserve">             </w:t>
      </w:r>
    </w:p>
    <w:p>
      <w:pPr>
        <w:spacing w:line="360" w:lineRule="auto"/>
        <w:ind w:firstLine="4800" w:firstLineChars="2000"/>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rPr>
        <w:t>日      期：</w:t>
      </w:r>
      <w:r>
        <w:rPr>
          <w:rFonts w:hint="default" w:ascii="Times New Roman" w:hAnsi="Times New Roman" w:eastAsia="宋体" w:cs="Times New Roman"/>
          <w:color w:val="auto"/>
          <w:sz w:val="24"/>
          <w:highlight w:val="none"/>
          <w:u w:val="single"/>
        </w:rPr>
        <w:t xml:space="preserve">             </w:t>
      </w:r>
    </w:p>
    <w:p>
      <w:pPr>
        <w:spacing w:line="360" w:lineRule="auto"/>
        <w:jc w:val="center"/>
        <w:outlineLvl w:val="2"/>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br w:type="page"/>
      </w:r>
      <w:r>
        <w:rPr>
          <w:rFonts w:hint="default" w:ascii="Times New Roman" w:hAnsi="Times New Roman" w:eastAsia="宋体" w:cs="Times New Roman"/>
          <w:b/>
          <w:color w:val="auto"/>
          <w:sz w:val="28"/>
          <w:szCs w:val="28"/>
          <w:highlight w:val="none"/>
        </w:rPr>
        <w:t>四、授权书</w:t>
      </w:r>
    </w:p>
    <w:p>
      <w:pPr>
        <w:pStyle w:val="10"/>
        <w:snapToGrid w:val="0"/>
        <w:spacing w:line="360" w:lineRule="auto"/>
        <w:ind w:firstLine="480" w:firstLineChars="200"/>
        <w:jc w:val="left"/>
        <w:rPr>
          <w:rFonts w:hint="default" w:ascii="Times New Roman" w:hAnsi="Times New Roman" w:cs="Times New Roman"/>
          <w:color w:val="auto"/>
          <w:sz w:val="24"/>
          <w:szCs w:val="28"/>
          <w:highlight w:val="none"/>
        </w:rPr>
      </w:pPr>
    </w:p>
    <w:p>
      <w:pPr>
        <w:spacing w:line="360" w:lineRule="auto"/>
        <w:ind w:firstLine="435"/>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本</w:t>
      </w:r>
      <w:r>
        <w:rPr>
          <w:rFonts w:hint="default" w:ascii="Times New Roman" w:hAnsi="Times New Roman" w:eastAsia="宋体" w:cs="Times New Roman"/>
          <w:color w:val="auto"/>
          <w:sz w:val="24"/>
          <w:highlight w:val="none"/>
        </w:rPr>
        <w:t>授权</w:t>
      </w:r>
      <w:r>
        <w:rPr>
          <w:rFonts w:hint="default" w:ascii="Times New Roman" w:hAnsi="Times New Roman" w:eastAsia="宋体" w:cs="Times New Roman"/>
          <w:color w:val="auto"/>
          <w:sz w:val="24"/>
          <w:szCs w:val="28"/>
          <w:highlight w:val="none"/>
        </w:rPr>
        <w:t>书声明：</w:t>
      </w:r>
      <w:r>
        <w:rPr>
          <w:rFonts w:hint="default" w:ascii="Times New Roman" w:hAnsi="Times New Roman" w:eastAsia="宋体" w:cs="Times New Roman"/>
          <w:color w:val="auto"/>
          <w:sz w:val="24"/>
          <w:szCs w:val="28"/>
          <w:highlight w:val="none"/>
          <w:u w:val="single"/>
        </w:rPr>
        <w:t xml:space="preserve">           </w:t>
      </w:r>
      <w:r>
        <w:rPr>
          <w:rFonts w:hint="default" w:ascii="Times New Roman" w:hAnsi="Times New Roman" w:eastAsia="宋体" w:cs="Times New Roman"/>
          <w:color w:val="auto"/>
          <w:sz w:val="24"/>
          <w:szCs w:val="28"/>
          <w:highlight w:val="none"/>
        </w:rPr>
        <w:t>（投标人名称）授权</w:t>
      </w:r>
      <w:r>
        <w:rPr>
          <w:rFonts w:hint="default" w:ascii="Times New Roman" w:hAnsi="Times New Roman" w:eastAsia="宋体" w:cs="Times New Roman"/>
          <w:color w:val="auto"/>
          <w:sz w:val="24"/>
          <w:szCs w:val="28"/>
          <w:highlight w:val="none"/>
          <w:u w:val="single"/>
        </w:rPr>
        <w:t xml:space="preserve">       </w:t>
      </w:r>
      <w:r>
        <w:rPr>
          <w:rFonts w:hint="default" w:ascii="Times New Roman" w:hAnsi="Times New Roman" w:eastAsia="宋体" w:cs="Times New Roman"/>
          <w:color w:val="auto"/>
          <w:sz w:val="24"/>
          <w:szCs w:val="28"/>
          <w:highlight w:val="none"/>
        </w:rPr>
        <w:t>（投标人授权代表姓名、职务）代表我方参加本项目</w:t>
      </w:r>
      <w:r>
        <w:rPr>
          <w:rFonts w:hint="default" w:ascii="Times New Roman" w:hAnsi="Times New Roman" w:eastAsia="宋体" w:cs="Times New Roman"/>
          <w:bCs/>
          <w:color w:val="auto"/>
          <w:sz w:val="24"/>
          <w:szCs w:val="28"/>
          <w:highlight w:val="none"/>
          <w:lang w:val="en-US" w:eastAsia="zh-CN"/>
        </w:rPr>
        <w:t>投标</w:t>
      </w:r>
      <w:r>
        <w:rPr>
          <w:rFonts w:hint="default" w:ascii="Times New Roman" w:hAnsi="Times New Roman" w:eastAsia="宋体" w:cs="Times New Roman"/>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pPr>
        <w:spacing w:line="360" w:lineRule="auto"/>
        <w:ind w:firstLine="435"/>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本授权书自出具之日起生效。</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8"/>
          <w:highlight w:val="none"/>
        </w:rPr>
        <w:t>授权</w:t>
      </w:r>
      <w:r>
        <w:rPr>
          <w:rFonts w:hint="default" w:ascii="Times New Roman" w:hAnsi="Times New Roman" w:eastAsia="宋体" w:cs="Times New Roman"/>
          <w:color w:val="auto"/>
          <w:sz w:val="24"/>
          <w:highlight w:val="none"/>
        </w:rPr>
        <w:t>代表身份证明复印件或影印件：</w:t>
      </w:r>
    </w:p>
    <w:p>
      <w:pPr>
        <w:spacing w:line="360" w:lineRule="auto"/>
        <w:ind w:firstLine="435"/>
        <w:rPr>
          <w:rFonts w:hint="default" w:ascii="Times New Roman" w:hAnsi="Times New Roman" w:eastAsia="宋体" w:cs="Times New Roman"/>
          <w:color w:val="auto"/>
          <w:sz w:val="24"/>
          <w:highlight w:val="none"/>
        </w:rPr>
      </w:pPr>
    </w:p>
    <w:p>
      <w:pPr>
        <w:spacing w:line="360" w:lineRule="auto"/>
        <w:ind w:firstLine="435"/>
        <w:rPr>
          <w:rFonts w:hint="default" w:ascii="Times New Roman" w:hAnsi="Times New Roman" w:eastAsia="宋体" w:cs="Times New Roman"/>
          <w:color w:val="auto"/>
          <w:sz w:val="24"/>
          <w:highlight w:val="none"/>
        </w:rPr>
      </w:pPr>
    </w:p>
    <w:p>
      <w:pPr>
        <w:spacing w:line="360" w:lineRule="auto"/>
        <w:ind w:firstLine="435"/>
        <w:rPr>
          <w:rFonts w:hint="default" w:ascii="Times New Roman" w:hAnsi="Times New Roman" w:eastAsia="宋体" w:cs="Times New Roman"/>
          <w:color w:val="auto"/>
          <w:sz w:val="24"/>
          <w:highlight w:val="none"/>
        </w:rPr>
      </w:pPr>
    </w:p>
    <w:p>
      <w:pPr>
        <w:spacing w:line="360" w:lineRule="auto"/>
        <w:ind w:firstLine="435"/>
        <w:rPr>
          <w:rFonts w:hint="default" w:ascii="Times New Roman" w:hAnsi="Times New Roman" w:eastAsia="宋体" w:cs="Times New Roman"/>
          <w:color w:val="auto"/>
          <w:sz w:val="24"/>
          <w:szCs w:val="28"/>
          <w:highlight w:val="none"/>
          <w:u w:val="single"/>
        </w:rPr>
      </w:pPr>
      <w:r>
        <w:rPr>
          <w:rFonts w:hint="default" w:ascii="Times New Roman" w:hAnsi="Times New Roman" w:eastAsia="宋体" w:cs="Times New Roman"/>
          <w:color w:val="auto"/>
          <w:sz w:val="24"/>
          <w:szCs w:val="28"/>
          <w:highlight w:val="none"/>
        </w:rPr>
        <w:t>授权代表联系方式：</w:t>
      </w:r>
      <w:r>
        <w:rPr>
          <w:rFonts w:hint="default" w:ascii="Times New Roman" w:hAnsi="Times New Roman" w:eastAsia="宋体" w:cs="Times New Roman"/>
          <w:color w:val="auto"/>
          <w:sz w:val="24"/>
          <w:szCs w:val="28"/>
          <w:highlight w:val="none"/>
          <w:u w:val="single"/>
        </w:rPr>
        <w:t xml:space="preserve">          （请填写手机号码）</w:t>
      </w:r>
    </w:p>
    <w:p>
      <w:pPr>
        <w:spacing w:line="360" w:lineRule="auto"/>
        <w:ind w:firstLine="435"/>
        <w:rPr>
          <w:rFonts w:hint="default" w:ascii="Times New Roman" w:hAnsi="Times New Roman" w:eastAsia="宋体" w:cs="Times New Roman"/>
          <w:color w:val="auto"/>
          <w:sz w:val="24"/>
          <w:szCs w:val="28"/>
          <w:highlight w:val="none"/>
        </w:rPr>
      </w:pPr>
    </w:p>
    <w:p>
      <w:pPr>
        <w:spacing w:line="360" w:lineRule="auto"/>
        <w:ind w:firstLine="435"/>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highlight w:val="none"/>
        </w:rPr>
        <w:t>特此</w:t>
      </w:r>
      <w:r>
        <w:rPr>
          <w:rFonts w:hint="default" w:ascii="Times New Roman" w:hAnsi="Times New Roman" w:eastAsia="宋体" w:cs="Times New Roman"/>
          <w:color w:val="auto"/>
          <w:sz w:val="24"/>
          <w:szCs w:val="28"/>
          <w:highlight w:val="none"/>
        </w:rPr>
        <w:t>声明。</w:t>
      </w:r>
    </w:p>
    <w:p>
      <w:pPr>
        <w:spacing w:line="360" w:lineRule="auto"/>
        <w:rPr>
          <w:rFonts w:hint="default" w:ascii="Times New Roman" w:hAnsi="Times New Roman" w:eastAsia="宋体" w:cs="Times New Roman"/>
          <w:color w:val="auto"/>
          <w:sz w:val="24"/>
          <w:szCs w:val="28"/>
          <w:highlight w:val="none"/>
        </w:rPr>
      </w:pPr>
    </w:p>
    <w:p>
      <w:pPr>
        <w:spacing w:line="360" w:lineRule="auto"/>
        <w:ind w:firstLine="435"/>
        <w:rPr>
          <w:rFonts w:hint="default" w:ascii="Times New Roman" w:hAnsi="Times New Roman" w:eastAsia="宋体" w:cs="Times New Roman"/>
          <w:bCs/>
          <w:color w:val="auto"/>
          <w:sz w:val="24"/>
          <w:szCs w:val="28"/>
          <w:highlight w:val="none"/>
        </w:rPr>
      </w:pPr>
      <w:r>
        <w:rPr>
          <w:rFonts w:hint="default" w:ascii="Times New Roman" w:hAnsi="Times New Roman" w:eastAsia="宋体" w:cs="Times New Roman"/>
          <w:bCs/>
          <w:color w:val="auto"/>
          <w:sz w:val="24"/>
          <w:szCs w:val="28"/>
          <w:highlight w:val="none"/>
        </w:rPr>
        <w:t>投标人公章：</w:t>
      </w:r>
      <w:r>
        <w:rPr>
          <w:rFonts w:hint="default" w:ascii="Times New Roman" w:hAnsi="Times New Roman" w:eastAsia="宋体" w:cs="Times New Roman"/>
          <w:bCs/>
          <w:color w:val="auto"/>
          <w:sz w:val="24"/>
          <w:szCs w:val="28"/>
          <w:highlight w:val="none"/>
          <w:u w:val="single"/>
        </w:rPr>
        <w:t xml:space="preserve">                    </w:t>
      </w:r>
    </w:p>
    <w:p>
      <w:pPr>
        <w:spacing w:line="360" w:lineRule="auto"/>
        <w:ind w:firstLine="435"/>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日      期：</w:t>
      </w:r>
      <w:r>
        <w:rPr>
          <w:rFonts w:hint="default" w:ascii="Times New Roman" w:hAnsi="Times New Roman" w:eastAsia="宋体" w:cs="Times New Roman"/>
          <w:b/>
          <w:bCs/>
          <w:color w:val="auto"/>
          <w:sz w:val="24"/>
          <w:szCs w:val="28"/>
          <w:highlight w:val="none"/>
          <w:u w:val="single"/>
        </w:rPr>
        <w:t xml:space="preserve">                    </w:t>
      </w:r>
    </w:p>
    <w:p>
      <w:pPr>
        <w:spacing w:line="360" w:lineRule="auto"/>
        <w:ind w:firstLine="435"/>
        <w:rPr>
          <w:rFonts w:hint="default" w:ascii="Times New Roman" w:hAnsi="Times New Roman" w:eastAsia="宋体" w:cs="Times New Roman"/>
          <w:color w:val="auto"/>
          <w:sz w:val="24"/>
          <w:highlight w:val="none"/>
        </w:rPr>
      </w:pPr>
    </w:p>
    <w:p>
      <w:pPr>
        <w:spacing w:line="360" w:lineRule="auto"/>
        <w:ind w:firstLine="435"/>
        <w:rPr>
          <w:rFonts w:hint="default" w:ascii="Times New Roman" w:hAnsi="Times New Roman" w:eastAsia="宋体" w:cs="Times New Roman"/>
          <w:color w:val="auto"/>
          <w:sz w:val="24"/>
          <w:highlight w:val="none"/>
        </w:rPr>
      </w:pPr>
    </w:p>
    <w:p>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注：</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1.本项目只允许有唯一的投标人授权代表，提供身份证明复印件；</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2.法定代表人参加投标的无需提供授权书，提供身份证明复印件。</w:t>
      </w:r>
    </w:p>
    <w:p>
      <w:pPr>
        <w:widowControl/>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br w:type="page"/>
      </w:r>
      <w:bookmarkStart w:id="62" w:name="_Toc507694553"/>
      <w:r>
        <w:rPr>
          <w:rFonts w:hint="default" w:ascii="Times New Roman" w:hAnsi="Times New Roman" w:eastAsia="宋体" w:cs="Times New Roman"/>
          <w:b/>
          <w:bCs/>
          <w:color w:val="auto"/>
          <w:sz w:val="28"/>
          <w:szCs w:val="28"/>
          <w:highlight w:val="none"/>
          <w:lang w:val="en-US" w:eastAsia="zh-CN"/>
        </w:rPr>
        <w:t>五、</w:t>
      </w:r>
      <w:r>
        <w:rPr>
          <w:rFonts w:hint="default" w:ascii="Times New Roman" w:hAnsi="Times New Roman" w:eastAsia="宋体" w:cs="Times New Roman"/>
          <w:b/>
          <w:bCs/>
          <w:color w:val="auto"/>
          <w:sz w:val="28"/>
          <w:szCs w:val="28"/>
          <w:highlight w:val="none"/>
        </w:rPr>
        <w:t>投标业绩承诺函</w:t>
      </w:r>
      <w:bookmarkEnd w:id="62"/>
    </w:p>
    <w:p>
      <w:pPr>
        <w:pStyle w:val="11"/>
        <w:spacing w:line="360" w:lineRule="auto"/>
        <w:rPr>
          <w:rFonts w:hint="default" w:ascii="Times New Roman" w:hAnsi="Times New Roman" w:eastAsia="@仿宋_GB2312" w:cs="Times New Roman"/>
          <w:color w:val="auto"/>
          <w:highlight w:val="none"/>
          <w:u w:val="single"/>
        </w:rPr>
      </w:pPr>
      <w:r>
        <w:rPr>
          <w:rFonts w:hint="default" w:ascii="Times New Roman" w:hAnsi="Times New Roman" w:eastAsia="宋体" w:cs="Times New Roman"/>
          <w:color w:val="auto"/>
          <w:sz w:val="24"/>
          <w:highlight w:val="none"/>
        </w:rPr>
        <w:t>致：</w:t>
      </w:r>
      <w:r>
        <w:rPr>
          <w:rFonts w:hint="default" w:ascii="Times New Roman" w:hAnsi="Times New Roman" w:cs="Times New Roman"/>
          <w:color w:val="auto"/>
          <w:sz w:val="24"/>
          <w:highlight w:val="none"/>
          <w:u w:val="single"/>
        </w:rPr>
        <w:t>合肥</w:t>
      </w:r>
      <w:r>
        <w:rPr>
          <w:rFonts w:hint="eastAsia" w:ascii="Times New Roman" w:hAnsi="Times New Roman" w:cs="Times New Roman"/>
          <w:color w:val="auto"/>
          <w:sz w:val="24"/>
          <w:highlight w:val="none"/>
          <w:u w:val="single"/>
          <w:lang w:val="en-US" w:eastAsia="zh-CN"/>
        </w:rPr>
        <w:t>包河文广产业投资</w:t>
      </w:r>
      <w:r>
        <w:rPr>
          <w:rFonts w:hint="default" w:ascii="Times New Roman" w:hAnsi="Times New Roman" w:cs="Times New Roman"/>
          <w:color w:val="auto"/>
          <w:sz w:val="24"/>
          <w:highlight w:val="none"/>
          <w:u w:val="single"/>
        </w:rPr>
        <w:t>有限公司</w:t>
      </w:r>
    </w:p>
    <w:p>
      <w:pPr>
        <w:widowControl/>
        <w:spacing w:line="360" w:lineRule="auto"/>
        <w:jc w:val="left"/>
        <w:rPr>
          <w:rFonts w:hint="default" w:ascii="Times New Roman" w:hAnsi="Times New Roman" w:eastAsia="宋体" w:cs="Times New Roman"/>
          <w:color w:val="auto"/>
          <w:sz w:val="24"/>
          <w:highlight w:val="none"/>
        </w:rPr>
      </w:pPr>
    </w:p>
    <w:p>
      <w:pPr>
        <w:widowControl/>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我公司承诺：本投标文件中提供的业绩均真实有效。若有异议，我公司承诺会在3个工作日内可就以下</w:t>
      </w:r>
      <w:bookmarkStart w:id="69" w:name="_GoBack"/>
      <w:bookmarkEnd w:id="69"/>
      <w:r>
        <w:rPr>
          <w:rFonts w:hint="default" w:ascii="Times New Roman" w:hAnsi="Times New Roman" w:eastAsia="宋体" w:cs="Times New Roman"/>
          <w:color w:val="auto"/>
          <w:sz w:val="24"/>
          <w:highlight w:val="none"/>
        </w:rPr>
        <w:t>业绩信息提供</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如合同、对应的发票、验收报告或用户评价意见</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原件供贵方核对。若被发现存在任何虚假、隐瞒情况，我公司承担由此产生的一切后果。</w:t>
      </w:r>
    </w:p>
    <w:p>
      <w:pPr>
        <w:widowControl/>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投标人</w:t>
      </w:r>
      <w:r>
        <w:rPr>
          <w:rFonts w:hint="eastAsia" w:ascii="Times New Roman" w:hAnsi="Times New Roman" w:eastAsia="宋体" w:cs="Times New Roman"/>
          <w:color w:val="auto"/>
          <w:sz w:val="24"/>
          <w:highlight w:val="none"/>
          <w:lang w:val="en-US" w:eastAsia="zh-CN"/>
        </w:rPr>
        <w:t>公章</w:t>
      </w:r>
      <w:r>
        <w:rPr>
          <w:rFonts w:hint="default" w:ascii="Times New Roman" w:hAnsi="Times New Roman" w:eastAsia="宋体" w:cs="Times New Roman"/>
          <w:color w:val="auto"/>
          <w:sz w:val="24"/>
          <w:highlight w:val="none"/>
        </w:rPr>
        <w:t xml:space="preserve">：                     </w:t>
      </w:r>
    </w:p>
    <w:p>
      <w:pPr>
        <w:widowControl/>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日      期：                      </w:t>
      </w:r>
    </w:p>
    <w:tbl>
      <w:tblPr>
        <w:tblStyle w:val="16"/>
        <w:tblpPr w:leftFromText="180" w:rightFromText="180" w:vertAnchor="text" w:horzAnchor="page" w:tblpX="1492" w:tblpY="2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2410"/>
        <w:gridCol w:w="1559"/>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46" w:type="dxa"/>
            <w:noWrap w:val="0"/>
            <w:vAlign w:val="center"/>
          </w:tcPr>
          <w:p>
            <w:pPr>
              <w:widowControl/>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序号</w:t>
            </w:r>
          </w:p>
        </w:tc>
        <w:tc>
          <w:tcPr>
            <w:tcW w:w="1559" w:type="dxa"/>
            <w:noWrap w:val="0"/>
            <w:vAlign w:val="center"/>
          </w:tcPr>
          <w:p>
            <w:pPr>
              <w:widowControl/>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项目名称</w:t>
            </w:r>
          </w:p>
        </w:tc>
        <w:tc>
          <w:tcPr>
            <w:tcW w:w="2410" w:type="dxa"/>
            <w:noWrap w:val="0"/>
            <w:vAlign w:val="center"/>
          </w:tcPr>
          <w:p>
            <w:pPr>
              <w:widowControl/>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服务内容</w:t>
            </w:r>
          </w:p>
        </w:tc>
        <w:tc>
          <w:tcPr>
            <w:tcW w:w="1559" w:type="dxa"/>
            <w:noWrap w:val="0"/>
            <w:vAlign w:val="center"/>
          </w:tcPr>
          <w:p>
            <w:pPr>
              <w:widowControl/>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合同总金额</w:t>
            </w:r>
          </w:p>
        </w:tc>
        <w:tc>
          <w:tcPr>
            <w:tcW w:w="1701" w:type="dxa"/>
            <w:noWrap w:val="0"/>
            <w:vAlign w:val="center"/>
          </w:tcPr>
          <w:p>
            <w:pPr>
              <w:widowControl/>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业主单位</w:t>
            </w:r>
          </w:p>
          <w:p>
            <w:pPr>
              <w:widowControl/>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及联系电话</w:t>
            </w:r>
          </w:p>
        </w:tc>
        <w:tc>
          <w:tcPr>
            <w:tcW w:w="1134" w:type="dxa"/>
            <w:noWrap w:val="0"/>
            <w:vAlign w:val="center"/>
          </w:tcPr>
          <w:p>
            <w:pPr>
              <w:widowControl/>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gridSpan w:val="6"/>
            <w:noWrap w:val="0"/>
            <w:vAlign w:val="center"/>
          </w:tcPr>
          <w:p>
            <w:pPr>
              <w:widowControl/>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评审业绩（打分业绩）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widowControl/>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p>
        </w:tc>
        <w:tc>
          <w:tcPr>
            <w:tcW w:w="1559" w:type="dxa"/>
            <w:noWrap w:val="0"/>
            <w:vAlign w:val="center"/>
          </w:tcPr>
          <w:p>
            <w:pPr>
              <w:widowControl/>
              <w:jc w:val="left"/>
              <w:rPr>
                <w:rFonts w:hint="default" w:ascii="Times New Roman" w:hAnsi="Times New Roman" w:eastAsia="宋体" w:cs="Times New Roman"/>
                <w:color w:val="auto"/>
                <w:sz w:val="24"/>
                <w:highlight w:val="none"/>
              </w:rPr>
            </w:pPr>
          </w:p>
        </w:tc>
        <w:tc>
          <w:tcPr>
            <w:tcW w:w="2410" w:type="dxa"/>
            <w:noWrap w:val="0"/>
            <w:vAlign w:val="center"/>
          </w:tcPr>
          <w:p>
            <w:pPr>
              <w:widowControl/>
              <w:jc w:val="left"/>
              <w:rPr>
                <w:rFonts w:hint="default" w:ascii="Times New Roman" w:hAnsi="Times New Roman" w:eastAsia="宋体" w:cs="Times New Roman"/>
                <w:color w:val="auto"/>
                <w:sz w:val="24"/>
                <w:highlight w:val="none"/>
              </w:rPr>
            </w:pPr>
          </w:p>
        </w:tc>
        <w:tc>
          <w:tcPr>
            <w:tcW w:w="1559" w:type="dxa"/>
            <w:noWrap w:val="0"/>
            <w:vAlign w:val="center"/>
          </w:tcPr>
          <w:p>
            <w:pPr>
              <w:widowControl/>
              <w:jc w:val="left"/>
              <w:rPr>
                <w:rFonts w:hint="default" w:ascii="Times New Roman" w:hAnsi="Times New Roman" w:eastAsia="宋体" w:cs="Times New Roman"/>
                <w:color w:val="auto"/>
                <w:sz w:val="24"/>
                <w:highlight w:val="none"/>
              </w:rPr>
            </w:pPr>
          </w:p>
        </w:tc>
        <w:tc>
          <w:tcPr>
            <w:tcW w:w="1701" w:type="dxa"/>
            <w:noWrap w:val="0"/>
            <w:vAlign w:val="center"/>
          </w:tcPr>
          <w:p>
            <w:pPr>
              <w:widowControl/>
              <w:jc w:val="left"/>
              <w:rPr>
                <w:rFonts w:hint="default" w:ascii="Times New Roman" w:hAnsi="Times New Roman" w:eastAsia="宋体" w:cs="Times New Roman"/>
                <w:color w:val="auto"/>
                <w:sz w:val="24"/>
                <w:highlight w:val="none"/>
              </w:rPr>
            </w:pPr>
          </w:p>
        </w:tc>
        <w:tc>
          <w:tcPr>
            <w:tcW w:w="1134" w:type="dxa"/>
            <w:noWrap w:val="0"/>
            <w:vAlign w:val="center"/>
          </w:tcPr>
          <w:p>
            <w:pPr>
              <w:widowControl/>
              <w:jc w:val="left"/>
              <w:rPr>
                <w:rFonts w:hint="default"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widowControl/>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p>
        </w:tc>
        <w:tc>
          <w:tcPr>
            <w:tcW w:w="1559" w:type="dxa"/>
            <w:noWrap w:val="0"/>
            <w:vAlign w:val="center"/>
          </w:tcPr>
          <w:p>
            <w:pPr>
              <w:widowControl/>
              <w:jc w:val="left"/>
              <w:rPr>
                <w:rFonts w:hint="default" w:ascii="Times New Roman" w:hAnsi="Times New Roman" w:eastAsia="宋体" w:cs="Times New Roman"/>
                <w:color w:val="auto"/>
                <w:sz w:val="24"/>
                <w:highlight w:val="none"/>
              </w:rPr>
            </w:pPr>
          </w:p>
        </w:tc>
        <w:tc>
          <w:tcPr>
            <w:tcW w:w="2410" w:type="dxa"/>
            <w:noWrap w:val="0"/>
            <w:vAlign w:val="center"/>
          </w:tcPr>
          <w:p>
            <w:pPr>
              <w:widowControl/>
              <w:jc w:val="left"/>
              <w:rPr>
                <w:rFonts w:hint="default" w:ascii="Times New Roman" w:hAnsi="Times New Roman" w:eastAsia="宋体" w:cs="Times New Roman"/>
                <w:color w:val="auto"/>
                <w:sz w:val="24"/>
                <w:highlight w:val="none"/>
              </w:rPr>
            </w:pPr>
          </w:p>
        </w:tc>
        <w:tc>
          <w:tcPr>
            <w:tcW w:w="1559" w:type="dxa"/>
            <w:noWrap w:val="0"/>
            <w:vAlign w:val="center"/>
          </w:tcPr>
          <w:p>
            <w:pPr>
              <w:widowControl/>
              <w:jc w:val="left"/>
              <w:rPr>
                <w:rFonts w:hint="default" w:ascii="Times New Roman" w:hAnsi="Times New Roman" w:eastAsia="宋体" w:cs="Times New Roman"/>
                <w:color w:val="auto"/>
                <w:sz w:val="24"/>
                <w:highlight w:val="none"/>
              </w:rPr>
            </w:pPr>
          </w:p>
        </w:tc>
        <w:tc>
          <w:tcPr>
            <w:tcW w:w="1701" w:type="dxa"/>
            <w:noWrap w:val="0"/>
            <w:vAlign w:val="center"/>
          </w:tcPr>
          <w:p>
            <w:pPr>
              <w:widowControl/>
              <w:jc w:val="left"/>
              <w:rPr>
                <w:rFonts w:hint="default" w:ascii="Times New Roman" w:hAnsi="Times New Roman" w:eastAsia="宋体" w:cs="Times New Roman"/>
                <w:color w:val="auto"/>
                <w:sz w:val="24"/>
                <w:highlight w:val="none"/>
              </w:rPr>
            </w:pPr>
          </w:p>
        </w:tc>
        <w:tc>
          <w:tcPr>
            <w:tcW w:w="1134" w:type="dxa"/>
            <w:noWrap w:val="0"/>
            <w:vAlign w:val="center"/>
          </w:tcPr>
          <w:p>
            <w:pPr>
              <w:widowControl/>
              <w:jc w:val="left"/>
              <w:rPr>
                <w:rFonts w:hint="default"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widowControl/>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p>
        </w:tc>
        <w:tc>
          <w:tcPr>
            <w:tcW w:w="1559" w:type="dxa"/>
            <w:noWrap w:val="0"/>
            <w:vAlign w:val="center"/>
          </w:tcPr>
          <w:p>
            <w:pPr>
              <w:widowControl/>
              <w:jc w:val="left"/>
              <w:rPr>
                <w:rFonts w:hint="default" w:ascii="Times New Roman" w:hAnsi="Times New Roman" w:eastAsia="宋体" w:cs="Times New Roman"/>
                <w:color w:val="auto"/>
                <w:sz w:val="24"/>
                <w:highlight w:val="none"/>
              </w:rPr>
            </w:pPr>
          </w:p>
        </w:tc>
        <w:tc>
          <w:tcPr>
            <w:tcW w:w="2410" w:type="dxa"/>
            <w:noWrap w:val="0"/>
            <w:vAlign w:val="center"/>
          </w:tcPr>
          <w:p>
            <w:pPr>
              <w:widowControl/>
              <w:jc w:val="left"/>
              <w:rPr>
                <w:rFonts w:hint="default" w:ascii="Times New Roman" w:hAnsi="Times New Roman" w:eastAsia="宋体" w:cs="Times New Roman"/>
                <w:color w:val="auto"/>
                <w:sz w:val="24"/>
                <w:highlight w:val="none"/>
              </w:rPr>
            </w:pPr>
          </w:p>
        </w:tc>
        <w:tc>
          <w:tcPr>
            <w:tcW w:w="1559" w:type="dxa"/>
            <w:noWrap w:val="0"/>
            <w:vAlign w:val="center"/>
          </w:tcPr>
          <w:p>
            <w:pPr>
              <w:widowControl/>
              <w:jc w:val="left"/>
              <w:rPr>
                <w:rFonts w:hint="default" w:ascii="Times New Roman" w:hAnsi="Times New Roman" w:eastAsia="宋体" w:cs="Times New Roman"/>
                <w:color w:val="auto"/>
                <w:sz w:val="24"/>
                <w:highlight w:val="none"/>
              </w:rPr>
            </w:pPr>
          </w:p>
        </w:tc>
        <w:tc>
          <w:tcPr>
            <w:tcW w:w="1701" w:type="dxa"/>
            <w:noWrap w:val="0"/>
            <w:vAlign w:val="center"/>
          </w:tcPr>
          <w:p>
            <w:pPr>
              <w:widowControl/>
              <w:jc w:val="left"/>
              <w:rPr>
                <w:rFonts w:hint="default" w:ascii="Times New Roman" w:hAnsi="Times New Roman" w:eastAsia="宋体" w:cs="Times New Roman"/>
                <w:color w:val="auto"/>
                <w:sz w:val="24"/>
                <w:highlight w:val="none"/>
              </w:rPr>
            </w:pPr>
          </w:p>
        </w:tc>
        <w:tc>
          <w:tcPr>
            <w:tcW w:w="1134" w:type="dxa"/>
            <w:noWrap w:val="0"/>
            <w:vAlign w:val="center"/>
          </w:tcPr>
          <w:p>
            <w:pPr>
              <w:widowControl/>
              <w:jc w:val="left"/>
              <w:rPr>
                <w:rFonts w:hint="default"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widowControl/>
              <w:jc w:val="left"/>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4</w:t>
            </w:r>
          </w:p>
        </w:tc>
        <w:tc>
          <w:tcPr>
            <w:tcW w:w="1559" w:type="dxa"/>
            <w:noWrap w:val="0"/>
            <w:vAlign w:val="center"/>
          </w:tcPr>
          <w:p>
            <w:pPr>
              <w:widowControl/>
              <w:jc w:val="left"/>
              <w:rPr>
                <w:rFonts w:hint="default" w:ascii="Times New Roman" w:hAnsi="Times New Roman" w:eastAsia="宋体" w:cs="Times New Roman"/>
                <w:color w:val="auto"/>
                <w:sz w:val="24"/>
                <w:highlight w:val="none"/>
              </w:rPr>
            </w:pPr>
          </w:p>
        </w:tc>
        <w:tc>
          <w:tcPr>
            <w:tcW w:w="2410" w:type="dxa"/>
            <w:noWrap w:val="0"/>
            <w:vAlign w:val="center"/>
          </w:tcPr>
          <w:p>
            <w:pPr>
              <w:widowControl/>
              <w:jc w:val="left"/>
              <w:rPr>
                <w:rFonts w:hint="default" w:ascii="Times New Roman" w:hAnsi="Times New Roman" w:eastAsia="宋体" w:cs="Times New Roman"/>
                <w:color w:val="auto"/>
                <w:sz w:val="24"/>
                <w:highlight w:val="none"/>
              </w:rPr>
            </w:pPr>
          </w:p>
        </w:tc>
        <w:tc>
          <w:tcPr>
            <w:tcW w:w="1559" w:type="dxa"/>
            <w:noWrap w:val="0"/>
            <w:vAlign w:val="center"/>
          </w:tcPr>
          <w:p>
            <w:pPr>
              <w:widowControl/>
              <w:jc w:val="left"/>
              <w:rPr>
                <w:rFonts w:hint="default" w:ascii="Times New Roman" w:hAnsi="Times New Roman" w:eastAsia="宋体" w:cs="Times New Roman"/>
                <w:color w:val="auto"/>
                <w:sz w:val="24"/>
                <w:highlight w:val="none"/>
              </w:rPr>
            </w:pPr>
          </w:p>
        </w:tc>
        <w:tc>
          <w:tcPr>
            <w:tcW w:w="1701" w:type="dxa"/>
            <w:noWrap w:val="0"/>
            <w:vAlign w:val="center"/>
          </w:tcPr>
          <w:p>
            <w:pPr>
              <w:widowControl/>
              <w:jc w:val="left"/>
              <w:rPr>
                <w:rFonts w:hint="default" w:ascii="Times New Roman" w:hAnsi="Times New Roman" w:eastAsia="宋体" w:cs="Times New Roman"/>
                <w:color w:val="auto"/>
                <w:sz w:val="24"/>
                <w:highlight w:val="none"/>
              </w:rPr>
            </w:pPr>
          </w:p>
        </w:tc>
        <w:tc>
          <w:tcPr>
            <w:tcW w:w="1134" w:type="dxa"/>
            <w:noWrap w:val="0"/>
            <w:vAlign w:val="center"/>
          </w:tcPr>
          <w:p>
            <w:pPr>
              <w:widowControl/>
              <w:jc w:val="left"/>
              <w:rPr>
                <w:rFonts w:hint="default"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widowControl/>
              <w:jc w:val="left"/>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5</w:t>
            </w:r>
          </w:p>
        </w:tc>
        <w:tc>
          <w:tcPr>
            <w:tcW w:w="1559" w:type="dxa"/>
            <w:noWrap w:val="0"/>
            <w:vAlign w:val="center"/>
          </w:tcPr>
          <w:p>
            <w:pPr>
              <w:widowControl/>
              <w:jc w:val="left"/>
              <w:rPr>
                <w:rFonts w:hint="default" w:ascii="Times New Roman" w:hAnsi="Times New Roman" w:eastAsia="宋体" w:cs="Times New Roman"/>
                <w:color w:val="auto"/>
                <w:sz w:val="24"/>
                <w:highlight w:val="none"/>
              </w:rPr>
            </w:pPr>
          </w:p>
        </w:tc>
        <w:tc>
          <w:tcPr>
            <w:tcW w:w="2410" w:type="dxa"/>
            <w:noWrap w:val="0"/>
            <w:vAlign w:val="center"/>
          </w:tcPr>
          <w:p>
            <w:pPr>
              <w:widowControl/>
              <w:jc w:val="left"/>
              <w:rPr>
                <w:rFonts w:hint="default" w:ascii="Times New Roman" w:hAnsi="Times New Roman" w:eastAsia="宋体" w:cs="Times New Roman"/>
                <w:color w:val="auto"/>
                <w:sz w:val="24"/>
                <w:highlight w:val="none"/>
              </w:rPr>
            </w:pPr>
          </w:p>
        </w:tc>
        <w:tc>
          <w:tcPr>
            <w:tcW w:w="1559" w:type="dxa"/>
            <w:noWrap w:val="0"/>
            <w:vAlign w:val="center"/>
          </w:tcPr>
          <w:p>
            <w:pPr>
              <w:widowControl/>
              <w:jc w:val="left"/>
              <w:rPr>
                <w:rFonts w:hint="default" w:ascii="Times New Roman" w:hAnsi="Times New Roman" w:eastAsia="宋体" w:cs="Times New Roman"/>
                <w:color w:val="auto"/>
                <w:sz w:val="24"/>
                <w:highlight w:val="none"/>
              </w:rPr>
            </w:pPr>
          </w:p>
        </w:tc>
        <w:tc>
          <w:tcPr>
            <w:tcW w:w="1701" w:type="dxa"/>
            <w:noWrap w:val="0"/>
            <w:vAlign w:val="center"/>
          </w:tcPr>
          <w:p>
            <w:pPr>
              <w:widowControl/>
              <w:jc w:val="left"/>
              <w:rPr>
                <w:rFonts w:hint="default" w:ascii="Times New Roman" w:hAnsi="Times New Roman" w:eastAsia="宋体" w:cs="Times New Roman"/>
                <w:color w:val="auto"/>
                <w:sz w:val="24"/>
                <w:highlight w:val="none"/>
              </w:rPr>
            </w:pPr>
          </w:p>
        </w:tc>
        <w:tc>
          <w:tcPr>
            <w:tcW w:w="1134" w:type="dxa"/>
            <w:noWrap w:val="0"/>
            <w:vAlign w:val="center"/>
          </w:tcPr>
          <w:p>
            <w:pPr>
              <w:widowControl/>
              <w:jc w:val="left"/>
              <w:rPr>
                <w:rFonts w:hint="default" w:ascii="Times New Roman" w:hAnsi="Times New Roman" w:eastAsia="宋体" w:cs="Times New Roman"/>
                <w:color w:val="auto"/>
                <w:sz w:val="24"/>
                <w:highlight w:val="none"/>
              </w:rPr>
            </w:pPr>
          </w:p>
        </w:tc>
      </w:tr>
    </w:tbl>
    <w:p>
      <w:pPr>
        <w:widowControl/>
        <w:jc w:val="left"/>
        <w:rPr>
          <w:rFonts w:hint="default" w:ascii="Times New Roman" w:hAnsi="Times New Roman" w:eastAsia="宋体" w:cs="Times New Roman"/>
          <w:color w:val="auto"/>
          <w:sz w:val="24"/>
          <w:highlight w:val="none"/>
        </w:rPr>
      </w:pPr>
    </w:p>
    <w:p>
      <w:pPr>
        <w:widowControl/>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备注：</w:t>
      </w:r>
    </w:p>
    <w:p>
      <w:pPr>
        <w:widowControl/>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1.表中所列业绩应为投标人满足本招标文件要求（包括评审业绩）并一一对应的业绩，如投标文件中实际提供证明材料的业绩在表中未填写或与表中填写业绩不匹配，可能导致业绩评审不得分；</w:t>
      </w:r>
    </w:p>
    <w:p>
      <w:pPr>
        <w:widowControl/>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2.投标人提供的评审业绩数量均不得超过评审指标要求的数量上限（例如：招标文件业绩评审指标中规定每个业绩得</w:t>
      </w:r>
      <w:r>
        <w:rPr>
          <w:rFonts w:hint="default"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分，满分</w:t>
      </w:r>
      <w:r>
        <w:rPr>
          <w:rFonts w:hint="default" w:ascii="Times New Roman" w:hAnsi="Times New Roman" w:eastAsia="宋体" w:cs="Times New Roman"/>
          <w:color w:val="auto"/>
          <w:sz w:val="24"/>
          <w:highlight w:val="none"/>
          <w:lang w:val="en-US" w:eastAsia="zh-CN"/>
        </w:rPr>
        <w:t>10</w:t>
      </w:r>
      <w:r>
        <w:rPr>
          <w:rFonts w:hint="default" w:ascii="Times New Roman" w:hAnsi="Times New Roman" w:eastAsia="宋体" w:cs="Times New Roman"/>
          <w:color w:val="auto"/>
          <w:sz w:val="24"/>
          <w:highlight w:val="none"/>
        </w:rPr>
        <w:t>分，则投标人在此项评审指标中最多只能提供</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个对应业绩供评标委员会评审），且应一一对应。否则，可能导致业绩评审不得分。</w:t>
      </w:r>
    </w:p>
    <w:p>
      <w:pPr>
        <w:widowControl/>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3.中标候选人提供的以上业绩情况（含项目名称、合同总金额），如招标文件《投标人须知前附表》有约定的，将按约定随评审结果公告。</w:t>
      </w:r>
    </w:p>
    <w:p>
      <w:pPr>
        <w:widowControl/>
        <w:jc w:val="center"/>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br w:type="page"/>
      </w:r>
      <w:bookmarkStart w:id="63" w:name="_Toc507694554"/>
      <w:r>
        <w:rPr>
          <w:rFonts w:hint="default" w:ascii="Times New Roman" w:hAnsi="Times New Roman" w:eastAsia="宋体" w:cs="Times New Roman"/>
          <w:b/>
          <w:bCs/>
          <w:color w:val="auto"/>
          <w:sz w:val="28"/>
          <w:szCs w:val="28"/>
          <w:highlight w:val="none"/>
          <w:lang w:val="en-US" w:eastAsia="zh-CN"/>
        </w:rPr>
        <w:t>六、</w:t>
      </w:r>
      <w:r>
        <w:rPr>
          <w:rFonts w:hint="default" w:ascii="Times New Roman" w:hAnsi="Times New Roman" w:eastAsia="宋体" w:cs="Times New Roman"/>
          <w:b/>
          <w:bCs/>
          <w:color w:val="auto"/>
          <w:sz w:val="28"/>
          <w:szCs w:val="28"/>
          <w:highlight w:val="none"/>
        </w:rPr>
        <w:t>拟投入本项目的人员情况</w:t>
      </w:r>
      <w:bookmarkEnd w:id="63"/>
    </w:p>
    <w:p>
      <w:pPr>
        <w:widowControl/>
        <w:jc w:val="left"/>
        <w:rPr>
          <w:rFonts w:hint="default" w:ascii="Times New Roman" w:hAnsi="Times New Roman" w:eastAsia="宋体" w:cs="Times New Roman"/>
          <w:color w:val="auto"/>
          <w:sz w:val="24"/>
          <w:highlight w:val="none"/>
        </w:rPr>
      </w:pPr>
    </w:p>
    <w:p>
      <w:pPr>
        <w:widowControl/>
        <w:jc w:val="left"/>
        <w:rPr>
          <w:rFonts w:hint="default" w:ascii="Times New Roman" w:hAnsi="Times New Roman" w:eastAsia="宋体" w:cs="Times New Roman"/>
          <w:color w:val="auto"/>
          <w:sz w:val="24"/>
          <w:highlight w:val="none"/>
        </w:rPr>
      </w:pPr>
    </w:p>
    <w:p>
      <w:pPr>
        <w:widowControl/>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（一）项目负责人工作经验承诺函</w:t>
      </w:r>
    </w:p>
    <w:p>
      <w:pPr>
        <w:widowControl/>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我单位承诺为本项目配备的项目负责人      （填写姓名）具有</w:t>
      </w:r>
      <w:r>
        <w:rPr>
          <w:rFonts w:hint="eastAsia" w:ascii="Times New Roman" w:hAnsi="Times New Roman" w:eastAsia="宋体" w:cs="Times New Roman"/>
          <w:color w:val="auto"/>
          <w:sz w:val="24"/>
          <w:highlight w:val="none"/>
          <w:lang w:val="en-US" w:eastAsia="zh-CN"/>
        </w:rPr>
        <w:t>装修工程</w:t>
      </w:r>
      <w:r>
        <w:rPr>
          <w:rFonts w:hint="default" w:ascii="Times New Roman" w:hAnsi="Times New Roman" w:eastAsia="宋体" w:cs="Times New Roman"/>
          <w:color w:val="auto"/>
          <w:sz w:val="24"/>
          <w:highlight w:val="none"/>
        </w:rPr>
        <w:t>工作经验满    年。招标人可在合同签订前将对项目负责人工作经验进行核实，如有不符，自行承担由此引发的一切后果。</w:t>
      </w:r>
    </w:p>
    <w:p>
      <w:pPr>
        <w:widowControl/>
        <w:jc w:val="left"/>
        <w:rPr>
          <w:rFonts w:hint="default" w:ascii="Times New Roman" w:hAnsi="Times New Roman" w:eastAsia="宋体" w:cs="Times New Roman"/>
          <w:color w:val="auto"/>
          <w:sz w:val="24"/>
          <w:highlight w:val="none"/>
        </w:rPr>
      </w:pPr>
    </w:p>
    <w:p>
      <w:pPr>
        <w:widowControl/>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投标人</w:t>
      </w:r>
      <w:r>
        <w:rPr>
          <w:rFonts w:hint="default" w:ascii="Times New Roman" w:hAnsi="Times New Roman" w:eastAsia="宋体" w:cs="Times New Roman"/>
          <w:color w:val="auto"/>
          <w:sz w:val="24"/>
          <w:highlight w:val="none"/>
          <w:lang w:val="en-US" w:eastAsia="zh-CN"/>
        </w:rPr>
        <w:t>公</w:t>
      </w:r>
      <w:r>
        <w:rPr>
          <w:rFonts w:hint="default" w:ascii="Times New Roman" w:hAnsi="Times New Roman" w:eastAsia="宋体" w:cs="Times New Roman"/>
          <w:color w:val="auto"/>
          <w:sz w:val="24"/>
          <w:highlight w:val="none"/>
        </w:rPr>
        <w:t xml:space="preserve">章：                     </w:t>
      </w:r>
    </w:p>
    <w:p>
      <w:pPr>
        <w:widowControl/>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日          期：                      </w:t>
      </w:r>
    </w:p>
    <w:p>
      <w:pPr>
        <w:widowControl/>
        <w:jc w:val="left"/>
        <w:rPr>
          <w:rFonts w:hint="default" w:ascii="Times New Roman" w:hAnsi="Times New Roman" w:eastAsia="宋体" w:cs="Times New Roman"/>
          <w:color w:val="auto"/>
          <w:sz w:val="24"/>
          <w:highlight w:val="none"/>
        </w:rPr>
      </w:pPr>
    </w:p>
    <w:p>
      <w:pPr>
        <w:widowControl/>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其余人员投标人可自行制作格式，应能体现出所有招标文件要求的内容，并附相关证明材料（扫描件）。</w:t>
      </w:r>
    </w:p>
    <w:p>
      <w:pPr>
        <w:widowControl/>
        <w:jc w:val="left"/>
        <w:rPr>
          <w:rFonts w:hint="default" w:ascii="Times New Roman" w:hAnsi="Times New Roman" w:eastAsia="宋体" w:cs="Times New Roman"/>
          <w:color w:val="auto"/>
          <w:sz w:val="24"/>
          <w:highlight w:val="none"/>
        </w:rPr>
      </w:pPr>
    </w:p>
    <w:p>
      <w:pPr>
        <w:ind w:firstLine="3654" w:firstLineChars="1300"/>
        <w:rPr>
          <w:rFonts w:hint="default" w:ascii="Times New Roman" w:hAnsi="Times New Roman" w:eastAsia="宋体" w:cs="Times New Roman"/>
          <w:b/>
          <w:color w:val="auto"/>
          <w:sz w:val="28"/>
          <w:szCs w:val="28"/>
          <w:highlight w:val="none"/>
        </w:rPr>
      </w:pPr>
      <w:bookmarkStart w:id="64" w:name="_Toc507694555"/>
      <w:r>
        <w:rPr>
          <w:rFonts w:hint="default" w:ascii="Times New Roman" w:hAnsi="Times New Roman" w:eastAsia="宋体" w:cs="Times New Roman"/>
          <w:b/>
          <w:color w:val="auto"/>
          <w:sz w:val="28"/>
          <w:szCs w:val="28"/>
          <w:highlight w:val="none"/>
          <w:lang w:val="en-US" w:eastAsia="zh-CN"/>
        </w:rPr>
        <w:t>七、</w:t>
      </w:r>
      <w:r>
        <w:rPr>
          <w:rFonts w:hint="eastAsia" w:ascii="Times New Roman" w:hAnsi="Times New Roman" w:eastAsia="宋体" w:cs="Times New Roman"/>
          <w:b/>
          <w:color w:val="auto"/>
          <w:sz w:val="28"/>
          <w:szCs w:val="28"/>
          <w:highlight w:val="none"/>
          <w:lang w:val="en-US" w:eastAsia="zh-CN"/>
        </w:rPr>
        <w:t>施工</w:t>
      </w:r>
      <w:r>
        <w:rPr>
          <w:rFonts w:hint="default" w:ascii="Times New Roman" w:hAnsi="Times New Roman" w:eastAsia="宋体" w:cs="Times New Roman"/>
          <w:b/>
          <w:color w:val="auto"/>
          <w:sz w:val="28"/>
          <w:szCs w:val="28"/>
          <w:highlight w:val="none"/>
        </w:rPr>
        <w:t>方案</w:t>
      </w:r>
      <w:bookmarkEnd w:id="64"/>
    </w:p>
    <w:p>
      <w:pPr>
        <w:rPr>
          <w:rFonts w:hint="default" w:ascii="Times New Roman" w:hAnsi="Times New Roman" w:eastAsia="宋体" w:cs="Times New Roman"/>
          <w:b/>
          <w:color w:val="auto"/>
          <w:sz w:val="24"/>
          <w:highlight w:val="none"/>
        </w:rPr>
      </w:pPr>
    </w:p>
    <w:p>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val="en-US" w:eastAsia="zh-CN"/>
        </w:rPr>
        <w:t>（供应商可自行制作格式）</w:t>
      </w:r>
    </w:p>
    <w:p>
      <w:pPr>
        <w:rPr>
          <w:rFonts w:hint="default" w:ascii="Times New Roman" w:hAnsi="Times New Roman" w:eastAsia="宋体" w:cs="Times New Roman"/>
          <w:b/>
          <w:color w:val="auto"/>
          <w:sz w:val="28"/>
          <w:szCs w:val="28"/>
          <w:highlight w:val="none"/>
        </w:rPr>
      </w:pPr>
    </w:p>
    <w:p>
      <w:pPr>
        <w:spacing w:line="360" w:lineRule="auto"/>
        <w:jc w:val="center"/>
        <w:outlineLvl w:val="2"/>
        <w:rPr>
          <w:rFonts w:hint="default" w:ascii="Times New Roman" w:hAnsi="Times New Roman" w:eastAsia="宋体" w:cs="Times New Roman"/>
          <w:b/>
          <w:color w:val="auto"/>
          <w:sz w:val="28"/>
          <w:szCs w:val="28"/>
          <w:highlight w:val="none"/>
        </w:rPr>
      </w:pPr>
      <w:bookmarkStart w:id="65" w:name="_Toc507694556"/>
      <w:r>
        <w:rPr>
          <w:rFonts w:hint="default" w:ascii="Times New Roman" w:hAnsi="Times New Roman" w:eastAsia="宋体" w:cs="Times New Roman"/>
          <w:b/>
          <w:color w:val="auto"/>
          <w:sz w:val="28"/>
          <w:szCs w:val="28"/>
          <w:highlight w:val="none"/>
          <w:lang w:val="en-US" w:eastAsia="zh-CN"/>
        </w:rPr>
        <w:t>八、</w:t>
      </w:r>
      <w:r>
        <w:rPr>
          <w:rFonts w:hint="default" w:ascii="Times New Roman" w:hAnsi="Times New Roman" w:eastAsia="宋体" w:cs="Times New Roman"/>
          <w:b/>
          <w:color w:val="auto"/>
          <w:sz w:val="28"/>
          <w:szCs w:val="28"/>
          <w:highlight w:val="none"/>
        </w:rPr>
        <w:t>服务承诺</w:t>
      </w:r>
      <w:bookmarkEnd w:id="65"/>
    </w:p>
    <w:p>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val="en-US" w:eastAsia="zh-CN"/>
        </w:rPr>
        <w:t>（供应商可自行制作格式）</w:t>
      </w:r>
    </w:p>
    <w:p>
      <w:pPr>
        <w:spacing w:line="360" w:lineRule="auto"/>
        <w:jc w:val="center"/>
        <w:outlineLvl w:val="2"/>
        <w:rPr>
          <w:rFonts w:hint="default" w:ascii="Times New Roman" w:hAnsi="Times New Roman" w:eastAsia="宋体" w:cs="Times New Roman"/>
          <w:b/>
          <w:color w:val="auto"/>
          <w:sz w:val="24"/>
          <w:highlight w:val="none"/>
        </w:rPr>
      </w:pPr>
    </w:p>
    <w:p>
      <w:pPr>
        <w:spacing w:line="360" w:lineRule="auto"/>
        <w:jc w:val="center"/>
        <w:outlineLvl w:val="2"/>
        <w:rPr>
          <w:rFonts w:hint="default" w:ascii="Times New Roman" w:hAnsi="Times New Roman" w:eastAsia="宋体" w:cs="Times New Roman"/>
          <w:b/>
          <w:color w:val="auto"/>
          <w:sz w:val="24"/>
          <w:highlight w:val="none"/>
        </w:rPr>
      </w:pPr>
      <w:bookmarkStart w:id="66" w:name="_Toc516969105"/>
      <w:bookmarkStart w:id="67" w:name="_Toc220232402"/>
      <w:r>
        <w:rPr>
          <w:rFonts w:hint="default" w:ascii="Times New Roman" w:hAnsi="Times New Roman" w:eastAsia="宋体" w:cs="Times New Roman"/>
          <w:b/>
          <w:color w:val="auto"/>
          <w:sz w:val="24"/>
          <w:highlight w:val="none"/>
          <w:lang w:eastAsia="zh-CN"/>
        </w:rPr>
        <w:br w:type="page"/>
      </w:r>
      <w:bookmarkStart w:id="68" w:name="_Toc507694557"/>
      <w:r>
        <w:rPr>
          <w:rFonts w:hint="default" w:ascii="Times New Roman" w:hAnsi="Times New Roman" w:eastAsia="宋体" w:cs="Times New Roman"/>
          <w:b/>
          <w:color w:val="auto"/>
          <w:sz w:val="28"/>
          <w:szCs w:val="28"/>
          <w:highlight w:val="none"/>
          <w:lang w:val="en-US" w:eastAsia="zh-CN"/>
        </w:rPr>
        <w:t>九、</w:t>
      </w:r>
      <w:r>
        <w:rPr>
          <w:rFonts w:hint="default" w:ascii="Times New Roman" w:hAnsi="Times New Roman" w:eastAsia="宋体" w:cs="Times New Roman"/>
          <w:b/>
          <w:color w:val="auto"/>
          <w:sz w:val="28"/>
          <w:szCs w:val="28"/>
          <w:highlight w:val="none"/>
        </w:rPr>
        <w:t>有关证明文件</w:t>
      </w:r>
      <w:bookmarkEnd w:id="66"/>
      <w:bookmarkEnd w:id="67"/>
      <w:bookmarkEnd w:id="68"/>
    </w:p>
    <w:p>
      <w:pPr>
        <w:spacing w:line="360" w:lineRule="auto"/>
        <w:jc w:val="both"/>
        <w:outlineLvl w:val="2"/>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提供符合投标邀请（招标公告）、招标需求及评标办法规定的相关证明文件（制作成扫描件上传）。</w:t>
      </w:r>
    </w:p>
    <w:p>
      <w:pPr>
        <w:spacing w:line="360" w:lineRule="auto"/>
        <w:jc w:val="center"/>
        <w:outlineLvl w:val="2"/>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t>特别提示：</w:t>
      </w:r>
    </w:p>
    <w:p>
      <w:pPr>
        <w:spacing w:line="360" w:lineRule="auto"/>
        <w:jc w:val="both"/>
        <w:outlineLvl w:val="2"/>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投标人在投标文件制作时，在此栏内上传下列材料（包括但不限于）：</w:t>
      </w:r>
    </w:p>
    <w:p>
      <w:pPr>
        <w:spacing w:line="360" w:lineRule="auto"/>
        <w:jc w:val="both"/>
        <w:outlineLvl w:val="2"/>
        <w:rPr>
          <w:rFonts w:hint="eastAsia" w:ascii="Times New Roman" w:hAnsi="Times New Roman" w:eastAsia="宋体" w:cs="Times New Roman"/>
          <w:b w:val="0"/>
          <w:bCs/>
          <w:color w:val="auto"/>
          <w:sz w:val="24"/>
          <w:highlight w:val="none"/>
          <w:lang w:val="en-US" w:eastAsia="zh-CN"/>
        </w:rPr>
      </w:pPr>
      <w:r>
        <w:rPr>
          <w:rFonts w:hint="default" w:ascii="Times New Roman" w:hAnsi="Times New Roman" w:eastAsia="宋体" w:cs="Times New Roman"/>
          <w:b w:val="0"/>
          <w:bCs/>
          <w:color w:val="auto"/>
          <w:sz w:val="24"/>
          <w:highlight w:val="none"/>
        </w:rPr>
        <w:t>招标文件要求的其他证明资料，如营业执照、税务登记证、</w:t>
      </w:r>
      <w:r>
        <w:rPr>
          <w:rFonts w:hint="default" w:ascii="Times New Roman" w:hAnsi="Times New Roman" w:eastAsia="宋体" w:cs="Times New Roman"/>
          <w:b w:val="0"/>
          <w:bCs/>
          <w:color w:val="auto"/>
          <w:sz w:val="24"/>
          <w:highlight w:val="none"/>
          <w:lang w:val="en-US" w:eastAsia="zh-CN"/>
        </w:rPr>
        <w:t>资质证书、荣誉奖项</w:t>
      </w:r>
      <w:r>
        <w:rPr>
          <w:rFonts w:hint="default" w:ascii="Times New Roman" w:hAnsi="Times New Roman" w:eastAsia="宋体" w:cs="Times New Roman"/>
          <w:b w:val="0"/>
          <w:bCs/>
          <w:color w:val="auto"/>
          <w:sz w:val="24"/>
          <w:highlight w:val="none"/>
        </w:rPr>
        <w:t>等，应将上述证明材料制作成扫描件上传。</w:t>
      </w:r>
    </w:p>
    <w:sectPr>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decorative"/>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FADE"/>
    <w:multiLevelType w:val="multilevel"/>
    <w:tmpl w:val="8461FADE"/>
    <w:lvl w:ilvl="0" w:tentative="0">
      <w:start w:val="1"/>
      <w:numFmt w:val="decimal"/>
      <w:lvlText w:val="（%1）"/>
      <w:lvlJc w:val="left"/>
      <w:pPr>
        <w:ind w:left="1073" w:hanging="529"/>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1761" w:hanging="529"/>
      </w:pPr>
      <w:rPr>
        <w:rFonts w:hint="default"/>
        <w:lang w:val="zh-CN" w:eastAsia="zh-CN" w:bidi="zh-CN"/>
      </w:rPr>
    </w:lvl>
    <w:lvl w:ilvl="2" w:tentative="0">
      <w:start w:val="0"/>
      <w:numFmt w:val="bullet"/>
      <w:lvlText w:val="•"/>
      <w:lvlJc w:val="left"/>
      <w:pPr>
        <w:ind w:left="2443" w:hanging="529"/>
      </w:pPr>
      <w:rPr>
        <w:rFonts w:hint="default"/>
        <w:lang w:val="zh-CN" w:eastAsia="zh-CN" w:bidi="zh-CN"/>
      </w:rPr>
    </w:lvl>
    <w:lvl w:ilvl="3" w:tentative="0">
      <w:start w:val="0"/>
      <w:numFmt w:val="bullet"/>
      <w:lvlText w:val="•"/>
      <w:lvlJc w:val="left"/>
      <w:pPr>
        <w:ind w:left="3124" w:hanging="529"/>
      </w:pPr>
      <w:rPr>
        <w:rFonts w:hint="default"/>
        <w:lang w:val="zh-CN" w:eastAsia="zh-CN" w:bidi="zh-CN"/>
      </w:rPr>
    </w:lvl>
    <w:lvl w:ilvl="4" w:tentative="0">
      <w:start w:val="0"/>
      <w:numFmt w:val="bullet"/>
      <w:lvlText w:val="•"/>
      <w:lvlJc w:val="left"/>
      <w:pPr>
        <w:ind w:left="3806" w:hanging="529"/>
      </w:pPr>
      <w:rPr>
        <w:rFonts w:hint="default"/>
        <w:lang w:val="zh-CN" w:eastAsia="zh-CN" w:bidi="zh-CN"/>
      </w:rPr>
    </w:lvl>
    <w:lvl w:ilvl="5" w:tentative="0">
      <w:start w:val="0"/>
      <w:numFmt w:val="bullet"/>
      <w:lvlText w:val="•"/>
      <w:lvlJc w:val="left"/>
      <w:pPr>
        <w:ind w:left="4487" w:hanging="529"/>
      </w:pPr>
      <w:rPr>
        <w:rFonts w:hint="default"/>
        <w:lang w:val="zh-CN" w:eastAsia="zh-CN" w:bidi="zh-CN"/>
      </w:rPr>
    </w:lvl>
    <w:lvl w:ilvl="6" w:tentative="0">
      <w:start w:val="0"/>
      <w:numFmt w:val="bullet"/>
      <w:lvlText w:val="•"/>
      <w:lvlJc w:val="left"/>
      <w:pPr>
        <w:ind w:left="5169" w:hanging="529"/>
      </w:pPr>
      <w:rPr>
        <w:rFonts w:hint="default"/>
        <w:lang w:val="zh-CN" w:eastAsia="zh-CN" w:bidi="zh-CN"/>
      </w:rPr>
    </w:lvl>
    <w:lvl w:ilvl="7" w:tentative="0">
      <w:start w:val="0"/>
      <w:numFmt w:val="bullet"/>
      <w:lvlText w:val="•"/>
      <w:lvlJc w:val="left"/>
      <w:pPr>
        <w:ind w:left="5850" w:hanging="529"/>
      </w:pPr>
      <w:rPr>
        <w:rFonts w:hint="default"/>
        <w:lang w:val="zh-CN" w:eastAsia="zh-CN" w:bidi="zh-CN"/>
      </w:rPr>
    </w:lvl>
    <w:lvl w:ilvl="8" w:tentative="0">
      <w:start w:val="0"/>
      <w:numFmt w:val="bullet"/>
      <w:lvlText w:val="•"/>
      <w:lvlJc w:val="left"/>
      <w:pPr>
        <w:ind w:left="6532" w:hanging="529"/>
      </w:pPr>
      <w:rPr>
        <w:rFonts w:hint="default"/>
        <w:lang w:val="zh-CN" w:eastAsia="zh-CN" w:bidi="zh-CN"/>
      </w:rPr>
    </w:lvl>
  </w:abstractNum>
  <w:abstractNum w:abstractNumId="1">
    <w:nsid w:val="28410894"/>
    <w:multiLevelType w:val="singleLevel"/>
    <w:tmpl w:val="28410894"/>
    <w:lvl w:ilvl="0" w:tentative="0">
      <w:start w:val="1"/>
      <w:numFmt w:val="chineseCounting"/>
      <w:suff w:val="space"/>
      <w:lvlText w:val="第%1章"/>
      <w:lvlJc w:val="left"/>
      <w:rPr>
        <w:rFonts w:hint="eastAsia"/>
      </w:rPr>
    </w:lvl>
  </w:abstractNum>
  <w:abstractNum w:abstractNumId="2">
    <w:nsid w:val="40B35105"/>
    <w:multiLevelType w:val="multilevel"/>
    <w:tmpl w:val="40B35105"/>
    <w:lvl w:ilvl="0" w:tentative="0">
      <w:start w:val="1"/>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678B3E27"/>
    <w:multiLevelType w:val="singleLevel"/>
    <w:tmpl w:val="678B3E27"/>
    <w:lvl w:ilvl="0" w:tentative="0">
      <w:start w:val="3"/>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lM2E3MzA2ZWExYTk2MjQzYTZjYTcwODA2NDBjNzUifQ=="/>
  </w:docVars>
  <w:rsids>
    <w:rsidRoot w:val="00000000"/>
    <w:rsid w:val="005452AF"/>
    <w:rsid w:val="009C337D"/>
    <w:rsid w:val="00A547EA"/>
    <w:rsid w:val="00A67D58"/>
    <w:rsid w:val="01457570"/>
    <w:rsid w:val="015754F6"/>
    <w:rsid w:val="015A1C53"/>
    <w:rsid w:val="016F04B9"/>
    <w:rsid w:val="0182413A"/>
    <w:rsid w:val="01987147"/>
    <w:rsid w:val="01C0753F"/>
    <w:rsid w:val="01C41842"/>
    <w:rsid w:val="01F1594A"/>
    <w:rsid w:val="020E6397"/>
    <w:rsid w:val="02306473"/>
    <w:rsid w:val="024A0BB7"/>
    <w:rsid w:val="02B04EBD"/>
    <w:rsid w:val="02DE7C7D"/>
    <w:rsid w:val="031A67DB"/>
    <w:rsid w:val="0355716B"/>
    <w:rsid w:val="03B44E81"/>
    <w:rsid w:val="03C03826"/>
    <w:rsid w:val="04021749"/>
    <w:rsid w:val="04270BC3"/>
    <w:rsid w:val="04277401"/>
    <w:rsid w:val="046E3282"/>
    <w:rsid w:val="05454606"/>
    <w:rsid w:val="05777F14"/>
    <w:rsid w:val="057E12A3"/>
    <w:rsid w:val="05EF21A1"/>
    <w:rsid w:val="061B112F"/>
    <w:rsid w:val="06606BFB"/>
    <w:rsid w:val="066606B5"/>
    <w:rsid w:val="071F2612"/>
    <w:rsid w:val="07666493"/>
    <w:rsid w:val="07A863ED"/>
    <w:rsid w:val="07F053D2"/>
    <w:rsid w:val="08314CF2"/>
    <w:rsid w:val="084A1910"/>
    <w:rsid w:val="08646E76"/>
    <w:rsid w:val="087921F6"/>
    <w:rsid w:val="089A4646"/>
    <w:rsid w:val="08A54D99"/>
    <w:rsid w:val="08DC1251"/>
    <w:rsid w:val="092B34F0"/>
    <w:rsid w:val="09B473B6"/>
    <w:rsid w:val="0A342878"/>
    <w:rsid w:val="0ABA0FCF"/>
    <w:rsid w:val="0B7D3DAB"/>
    <w:rsid w:val="0BA852CC"/>
    <w:rsid w:val="0BEB15AE"/>
    <w:rsid w:val="0BF4501F"/>
    <w:rsid w:val="0C281F69"/>
    <w:rsid w:val="0C3B6140"/>
    <w:rsid w:val="0C6A432F"/>
    <w:rsid w:val="0D152CB4"/>
    <w:rsid w:val="0D1F336B"/>
    <w:rsid w:val="0D7A2C98"/>
    <w:rsid w:val="0D946B5F"/>
    <w:rsid w:val="0DFE7425"/>
    <w:rsid w:val="0E12182B"/>
    <w:rsid w:val="0E386ACC"/>
    <w:rsid w:val="0E464928"/>
    <w:rsid w:val="0E7811DB"/>
    <w:rsid w:val="0EA0672E"/>
    <w:rsid w:val="0EB421D9"/>
    <w:rsid w:val="0EBF36D0"/>
    <w:rsid w:val="0EF95E3E"/>
    <w:rsid w:val="0F234C69"/>
    <w:rsid w:val="0F2D10D5"/>
    <w:rsid w:val="0F67724C"/>
    <w:rsid w:val="0F7B6853"/>
    <w:rsid w:val="0FCB3337"/>
    <w:rsid w:val="102F7D69"/>
    <w:rsid w:val="108D2CE2"/>
    <w:rsid w:val="10EE19D3"/>
    <w:rsid w:val="115630D4"/>
    <w:rsid w:val="11716160"/>
    <w:rsid w:val="118155DC"/>
    <w:rsid w:val="11880453"/>
    <w:rsid w:val="120D57FE"/>
    <w:rsid w:val="123449D2"/>
    <w:rsid w:val="1351449B"/>
    <w:rsid w:val="1360648C"/>
    <w:rsid w:val="13833F28"/>
    <w:rsid w:val="138403CC"/>
    <w:rsid w:val="13D824C6"/>
    <w:rsid w:val="13E744B7"/>
    <w:rsid w:val="14183B6D"/>
    <w:rsid w:val="14215DB3"/>
    <w:rsid w:val="147246C9"/>
    <w:rsid w:val="152A6D51"/>
    <w:rsid w:val="15712BD2"/>
    <w:rsid w:val="15877D00"/>
    <w:rsid w:val="159E7B51"/>
    <w:rsid w:val="15D171CD"/>
    <w:rsid w:val="16481B85"/>
    <w:rsid w:val="16C32FBA"/>
    <w:rsid w:val="17312619"/>
    <w:rsid w:val="17966920"/>
    <w:rsid w:val="17A54DB5"/>
    <w:rsid w:val="17AD77C6"/>
    <w:rsid w:val="17B16829"/>
    <w:rsid w:val="17C70888"/>
    <w:rsid w:val="18982224"/>
    <w:rsid w:val="18B43502"/>
    <w:rsid w:val="18C748B7"/>
    <w:rsid w:val="19324427"/>
    <w:rsid w:val="197B5DCD"/>
    <w:rsid w:val="198527A8"/>
    <w:rsid w:val="19A47811"/>
    <w:rsid w:val="19C332D1"/>
    <w:rsid w:val="1A257AC8"/>
    <w:rsid w:val="1ACE4623"/>
    <w:rsid w:val="1B0066EA"/>
    <w:rsid w:val="1B0E4A1F"/>
    <w:rsid w:val="1B3F2E2B"/>
    <w:rsid w:val="1B8847D2"/>
    <w:rsid w:val="1BCF0653"/>
    <w:rsid w:val="1BEF65FF"/>
    <w:rsid w:val="1C646FED"/>
    <w:rsid w:val="1C7B4336"/>
    <w:rsid w:val="1CC63804"/>
    <w:rsid w:val="1CD31A7D"/>
    <w:rsid w:val="1D175E0D"/>
    <w:rsid w:val="1D94745E"/>
    <w:rsid w:val="1DF72F2A"/>
    <w:rsid w:val="1E004AF3"/>
    <w:rsid w:val="1E85149C"/>
    <w:rsid w:val="1EBF04EE"/>
    <w:rsid w:val="1F114ADE"/>
    <w:rsid w:val="1F220A99"/>
    <w:rsid w:val="1F30765A"/>
    <w:rsid w:val="1F550E6F"/>
    <w:rsid w:val="1F9C52EC"/>
    <w:rsid w:val="1FFD6E47"/>
    <w:rsid w:val="200908B3"/>
    <w:rsid w:val="2020147D"/>
    <w:rsid w:val="20521380"/>
    <w:rsid w:val="207C3664"/>
    <w:rsid w:val="208819E3"/>
    <w:rsid w:val="20CF4C51"/>
    <w:rsid w:val="20E00C0C"/>
    <w:rsid w:val="211E6092"/>
    <w:rsid w:val="217D645B"/>
    <w:rsid w:val="2197576F"/>
    <w:rsid w:val="21D56297"/>
    <w:rsid w:val="22341F66"/>
    <w:rsid w:val="22833F45"/>
    <w:rsid w:val="22881DB8"/>
    <w:rsid w:val="228C104B"/>
    <w:rsid w:val="22F4274D"/>
    <w:rsid w:val="230C5CE8"/>
    <w:rsid w:val="232B2612"/>
    <w:rsid w:val="2358717F"/>
    <w:rsid w:val="236663A1"/>
    <w:rsid w:val="248A5117"/>
    <w:rsid w:val="248F5924"/>
    <w:rsid w:val="24C85C3F"/>
    <w:rsid w:val="252E63EA"/>
    <w:rsid w:val="25A0096A"/>
    <w:rsid w:val="25BC1C48"/>
    <w:rsid w:val="25E40110"/>
    <w:rsid w:val="25F72C80"/>
    <w:rsid w:val="269702A0"/>
    <w:rsid w:val="26CB1A16"/>
    <w:rsid w:val="270D202F"/>
    <w:rsid w:val="276B56D3"/>
    <w:rsid w:val="27B01A7B"/>
    <w:rsid w:val="2818512F"/>
    <w:rsid w:val="286E7CD8"/>
    <w:rsid w:val="28F17E5A"/>
    <w:rsid w:val="293B3DB1"/>
    <w:rsid w:val="2964687E"/>
    <w:rsid w:val="29A94291"/>
    <w:rsid w:val="29F55728"/>
    <w:rsid w:val="2A0C65CE"/>
    <w:rsid w:val="2A1C4BB6"/>
    <w:rsid w:val="2A1F09F7"/>
    <w:rsid w:val="2A2D1392"/>
    <w:rsid w:val="2A377AEF"/>
    <w:rsid w:val="2A522B7B"/>
    <w:rsid w:val="2AC375D4"/>
    <w:rsid w:val="2ADE7F6A"/>
    <w:rsid w:val="2B2378D5"/>
    <w:rsid w:val="2B475678"/>
    <w:rsid w:val="2B594413"/>
    <w:rsid w:val="2BC93943"/>
    <w:rsid w:val="2BCB6C93"/>
    <w:rsid w:val="2BD80E5D"/>
    <w:rsid w:val="2C02237E"/>
    <w:rsid w:val="2C483A28"/>
    <w:rsid w:val="2C772424"/>
    <w:rsid w:val="2C7F39CF"/>
    <w:rsid w:val="2C9A6598"/>
    <w:rsid w:val="2C9F7BCD"/>
    <w:rsid w:val="2CD47877"/>
    <w:rsid w:val="2CD755B9"/>
    <w:rsid w:val="2CEB2E12"/>
    <w:rsid w:val="2D727090"/>
    <w:rsid w:val="2D7C10D0"/>
    <w:rsid w:val="2DB15E0A"/>
    <w:rsid w:val="2DCD42C6"/>
    <w:rsid w:val="2E9121D0"/>
    <w:rsid w:val="2EF20488"/>
    <w:rsid w:val="2F723377"/>
    <w:rsid w:val="2F8D2526"/>
    <w:rsid w:val="2F917CA1"/>
    <w:rsid w:val="2FF41FDE"/>
    <w:rsid w:val="306B6744"/>
    <w:rsid w:val="306F7027"/>
    <w:rsid w:val="317754B9"/>
    <w:rsid w:val="318C636F"/>
    <w:rsid w:val="31D10829"/>
    <w:rsid w:val="32715B68"/>
    <w:rsid w:val="329655CE"/>
    <w:rsid w:val="32DA370D"/>
    <w:rsid w:val="34545741"/>
    <w:rsid w:val="345B6AD0"/>
    <w:rsid w:val="34D67A66"/>
    <w:rsid w:val="353E4427"/>
    <w:rsid w:val="35564870"/>
    <w:rsid w:val="35944047"/>
    <w:rsid w:val="35BE324A"/>
    <w:rsid w:val="35F965A0"/>
    <w:rsid w:val="362C0724"/>
    <w:rsid w:val="36E72988"/>
    <w:rsid w:val="36EE7787"/>
    <w:rsid w:val="377F2AD5"/>
    <w:rsid w:val="37857C71"/>
    <w:rsid w:val="37F25055"/>
    <w:rsid w:val="383C2774"/>
    <w:rsid w:val="38934A8A"/>
    <w:rsid w:val="392E1474"/>
    <w:rsid w:val="3946010D"/>
    <w:rsid w:val="397733A5"/>
    <w:rsid w:val="39A66458"/>
    <w:rsid w:val="39F8091D"/>
    <w:rsid w:val="3A092B2A"/>
    <w:rsid w:val="3B141786"/>
    <w:rsid w:val="3B862684"/>
    <w:rsid w:val="3B911029"/>
    <w:rsid w:val="3BD31641"/>
    <w:rsid w:val="3C63209A"/>
    <w:rsid w:val="3CC52D38"/>
    <w:rsid w:val="3D597924"/>
    <w:rsid w:val="3D632551"/>
    <w:rsid w:val="3D6F788E"/>
    <w:rsid w:val="3D803103"/>
    <w:rsid w:val="3DB56AF2"/>
    <w:rsid w:val="3DBF00CF"/>
    <w:rsid w:val="3DF0467F"/>
    <w:rsid w:val="3E0B6E71"/>
    <w:rsid w:val="3E8F7AA2"/>
    <w:rsid w:val="3EA071C8"/>
    <w:rsid w:val="3F676EF0"/>
    <w:rsid w:val="3FBA6DA0"/>
    <w:rsid w:val="3FD37E62"/>
    <w:rsid w:val="4081341A"/>
    <w:rsid w:val="40B7508E"/>
    <w:rsid w:val="40D54524"/>
    <w:rsid w:val="40ED0AAF"/>
    <w:rsid w:val="415D593F"/>
    <w:rsid w:val="41790595"/>
    <w:rsid w:val="421A1D78"/>
    <w:rsid w:val="426E79CE"/>
    <w:rsid w:val="42AB29D0"/>
    <w:rsid w:val="430640AA"/>
    <w:rsid w:val="432804C5"/>
    <w:rsid w:val="43587F3D"/>
    <w:rsid w:val="43790D20"/>
    <w:rsid w:val="438F1583"/>
    <w:rsid w:val="448160DE"/>
    <w:rsid w:val="44D04970"/>
    <w:rsid w:val="451A13A3"/>
    <w:rsid w:val="45703A5D"/>
    <w:rsid w:val="45834BF4"/>
    <w:rsid w:val="45D20C54"/>
    <w:rsid w:val="467C16D7"/>
    <w:rsid w:val="46AE739A"/>
    <w:rsid w:val="46D5626E"/>
    <w:rsid w:val="470310B3"/>
    <w:rsid w:val="478F28C0"/>
    <w:rsid w:val="479E6FA7"/>
    <w:rsid w:val="47F44E19"/>
    <w:rsid w:val="480F63E1"/>
    <w:rsid w:val="481E1E96"/>
    <w:rsid w:val="48F67EAB"/>
    <w:rsid w:val="491312CF"/>
    <w:rsid w:val="49292E7D"/>
    <w:rsid w:val="495A5150"/>
    <w:rsid w:val="49951CE4"/>
    <w:rsid w:val="499A6287"/>
    <w:rsid w:val="49DB3A4D"/>
    <w:rsid w:val="49F17862"/>
    <w:rsid w:val="4A286FFC"/>
    <w:rsid w:val="4A8C063F"/>
    <w:rsid w:val="4AF04EF2"/>
    <w:rsid w:val="4B46773A"/>
    <w:rsid w:val="4B810B65"/>
    <w:rsid w:val="4B9506C1"/>
    <w:rsid w:val="4BD27718"/>
    <w:rsid w:val="4BEB02E1"/>
    <w:rsid w:val="4C0849EF"/>
    <w:rsid w:val="4C207F8B"/>
    <w:rsid w:val="4C5B5467"/>
    <w:rsid w:val="4C6065D9"/>
    <w:rsid w:val="4CC528E0"/>
    <w:rsid w:val="4D2515D1"/>
    <w:rsid w:val="4D634646"/>
    <w:rsid w:val="4D973C2C"/>
    <w:rsid w:val="4DAB1E02"/>
    <w:rsid w:val="4E141316"/>
    <w:rsid w:val="4E4837C9"/>
    <w:rsid w:val="4E9C0BC5"/>
    <w:rsid w:val="4EFA0F67"/>
    <w:rsid w:val="4F111E0D"/>
    <w:rsid w:val="4F2204BE"/>
    <w:rsid w:val="4F846A83"/>
    <w:rsid w:val="4FD73056"/>
    <w:rsid w:val="4FE85264"/>
    <w:rsid w:val="50303144"/>
    <w:rsid w:val="50731F61"/>
    <w:rsid w:val="511B3417"/>
    <w:rsid w:val="513F5914"/>
    <w:rsid w:val="51A52C5F"/>
    <w:rsid w:val="51C969CF"/>
    <w:rsid w:val="51F36142"/>
    <w:rsid w:val="51FC4FF6"/>
    <w:rsid w:val="52624A8D"/>
    <w:rsid w:val="526B5CD8"/>
    <w:rsid w:val="52AD4542"/>
    <w:rsid w:val="53446C55"/>
    <w:rsid w:val="53A4545B"/>
    <w:rsid w:val="54C57380"/>
    <w:rsid w:val="5543769D"/>
    <w:rsid w:val="557D644E"/>
    <w:rsid w:val="55F45FE4"/>
    <w:rsid w:val="55F81F79"/>
    <w:rsid w:val="560E652F"/>
    <w:rsid w:val="562C577E"/>
    <w:rsid w:val="5680139E"/>
    <w:rsid w:val="569752EE"/>
    <w:rsid w:val="57462870"/>
    <w:rsid w:val="577473DD"/>
    <w:rsid w:val="57E9601D"/>
    <w:rsid w:val="581B5AAA"/>
    <w:rsid w:val="58BC54DF"/>
    <w:rsid w:val="597B52F1"/>
    <w:rsid w:val="59D25CE9"/>
    <w:rsid w:val="59E206E5"/>
    <w:rsid w:val="5A4B6B1B"/>
    <w:rsid w:val="5A9F29C3"/>
    <w:rsid w:val="5AD92379"/>
    <w:rsid w:val="5AFE1DDF"/>
    <w:rsid w:val="5B0D3DD0"/>
    <w:rsid w:val="5B500161"/>
    <w:rsid w:val="5B7C4AB2"/>
    <w:rsid w:val="5B834092"/>
    <w:rsid w:val="5B975D90"/>
    <w:rsid w:val="5C0A6562"/>
    <w:rsid w:val="5C186ED1"/>
    <w:rsid w:val="5C2F421A"/>
    <w:rsid w:val="5C317F92"/>
    <w:rsid w:val="5C493291"/>
    <w:rsid w:val="5C6C4B26"/>
    <w:rsid w:val="5CA00C74"/>
    <w:rsid w:val="5CF324D6"/>
    <w:rsid w:val="5D301FF8"/>
    <w:rsid w:val="5D347D3A"/>
    <w:rsid w:val="5D6B3030"/>
    <w:rsid w:val="5DC16C09"/>
    <w:rsid w:val="5DE40963"/>
    <w:rsid w:val="5DF9063C"/>
    <w:rsid w:val="5EBD78BB"/>
    <w:rsid w:val="5F4F0E5B"/>
    <w:rsid w:val="5F585836"/>
    <w:rsid w:val="5FC1162D"/>
    <w:rsid w:val="5FE570CA"/>
    <w:rsid w:val="60B66CB8"/>
    <w:rsid w:val="6153693F"/>
    <w:rsid w:val="6162299C"/>
    <w:rsid w:val="618B5A4F"/>
    <w:rsid w:val="619F14FA"/>
    <w:rsid w:val="61A445BF"/>
    <w:rsid w:val="62233ED9"/>
    <w:rsid w:val="62843025"/>
    <w:rsid w:val="62A751AD"/>
    <w:rsid w:val="62B23934"/>
    <w:rsid w:val="631657EC"/>
    <w:rsid w:val="636B1FDC"/>
    <w:rsid w:val="636C18B0"/>
    <w:rsid w:val="636E387A"/>
    <w:rsid w:val="646808EA"/>
    <w:rsid w:val="6470717E"/>
    <w:rsid w:val="648D7D30"/>
    <w:rsid w:val="64AF7CA6"/>
    <w:rsid w:val="64EE6A20"/>
    <w:rsid w:val="651B17E0"/>
    <w:rsid w:val="65757142"/>
    <w:rsid w:val="65DC4ACB"/>
    <w:rsid w:val="661F0E5C"/>
    <w:rsid w:val="66521231"/>
    <w:rsid w:val="66723681"/>
    <w:rsid w:val="66757F23"/>
    <w:rsid w:val="66CF4630"/>
    <w:rsid w:val="671F5ADA"/>
    <w:rsid w:val="68404B70"/>
    <w:rsid w:val="685F7C35"/>
    <w:rsid w:val="688B4586"/>
    <w:rsid w:val="68A815DC"/>
    <w:rsid w:val="6A45623B"/>
    <w:rsid w:val="6A7A6FA8"/>
    <w:rsid w:val="6B625A72"/>
    <w:rsid w:val="6BAE6F0A"/>
    <w:rsid w:val="6BCA186A"/>
    <w:rsid w:val="6C5630FD"/>
    <w:rsid w:val="6C6A4337"/>
    <w:rsid w:val="6C7F0402"/>
    <w:rsid w:val="6C7F08A6"/>
    <w:rsid w:val="6CFE7A1D"/>
    <w:rsid w:val="6D162FB8"/>
    <w:rsid w:val="6D3C22F3"/>
    <w:rsid w:val="6D877A12"/>
    <w:rsid w:val="6D943EDD"/>
    <w:rsid w:val="6DBD1686"/>
    <w:rsid w:val="6E2A4841"/>
    <w:rsid w:val="6EF410D7"/>
    <w:rsid w:val="6F062BB9"/>
    <w:rsid w:val="6FB24AEE"/>
    <w:rsid w:val="70333E81"/>
    <w:rsid w:val="70613C89"/>
    <w:rsid w:val="70700C31"/>
    <w:rsid w:val="709A471E"/>
    <w:rsid w:val="70FF766E"/>
    <w:rsid w:val="711315BD"/>
    <w:rsid w:val="717007BD"/>
    <w:rsid w:val="71A82713"/>
    <w:rsid w:val="71DA7ECC"/>
    <w:rsid w:val="73041B05"/>
    <w:rsid w:val="730B43B7"/>
    <w:rsid w:val="735A7977"/>
    <w:rsid w:val="73B254A9"/>
    <w:rsid w:val="73E334C8"/>
    <w:rsid w:val="73F27BAF"/>
    <w:rsid w:val="74035919"/>
    <w:rsid w:val="744A1799"/>
    <w:rsid w:val="74575C64"/>
    <w:rsid w:val="74E25E76"/>
    <w:rsid w:val="751F2C26"/>
    <w:rsid w:val="755F74C6"/>
    <w:rsid w:val="7592164A"/>
    <w:rsid w:val="75B25848"/>
    <w:rsid w:val="75EB48B6"/>
    <w:rsid w:val="75F53987"/>
    <w:rsid w:val="76193DF8"/>
    <w:rsid w:val="76213A9E"/>
    <w:rsid w:val="76236746"/>
    <w:rsid w:val="76342701"/>
    <w:rsid w:val="763F4F79"/>
    <w:rsid w:val="7653333A"/>
    <w:rsid w:val="7684354B"/>
    <w:rsid w:val="76C577FD"/>
    <w:rsid w:val="76E13F88"/>
    <w:rsid w:val="76E61C4D"/>
    <w:rsid w:val="76F93EE1"/>
    <w:rsid w:val="771340C5"/>
    <w:rsid w:val="77516C75"/>
    <w:rsid w:val="77903967"/>
    <w:rsid w:val="77BC2C03"/>
    <w:rsid w:val="78AF42C1"/>
    <w:rsid w:val="78BE3462"/>
    <w:rsid w:val="78EA354B"/>
    <w:rsid w:val="796C31B8"/>
    <w:rsid w:val="7AAC6D0A"/>
    <w:rsid w:val="7B046B46"/>
    <w:rsid w:val="7B3665D4"/>
    <w:rsid w:val="7C3617EF"/>
    <w:rsid w:val="7C4D62CB"/>
    <w:rsid w:val="7CDD6772"/>
    <w:rsid w:val="7CDE5175"/>
    <w:rsid w:val="7D4B192B"/>
    <w:rsid w:val="7D741635"/>
    <w:rsid w:val="7DC71B09"/>
    <w:rsid w:val="7DCE654B"/>
    <w:rsid w:val="7E9E4BBC"/>
    <w:rsid w:val="7EBC14E6"/>
    <w:rsid w:val="7EC108AA"/>
    <w:rsid w:val="7EF26CB5"/>
    <w:rsid w:val="7F8F775C"/>
    <w:rsid w:val="7FEB2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小标宋简体" w:cs="方正小标宋简体" w:asciiTheme="minorHAnsi" w:hAnsiTheme="minorHAnsi"/>
      <w:kern w:val="20"/>
      <w:sz w:val="44"/>
      <w:szCs w:val="4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autoRedefine/>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widowControl/>
      <w:spacing w:after="100" w:line="276" w:lineRule="auto"/>
      <w:ind w:left="220"/>
      <w:jc w:val="left"/>
    </w:pPr>
    <w:rPr>
      <w:rFonts w:ascii="Calibri" w:hAnsi="Calibri" w:eastAsia="宋体" w:cs="黑体"/>
      <w:kern w:val="0"/>
      <w:sz w:val="22"/>
      <w:szCs w:val="22"/>
    </w:rPr>
  </w:style>
  <w:style w:type="paragraph" w:styleId="6">
    <w:name w:val="Body Text"/>
    <w:basedOn w:val="1"/>
    <w:next w:val="7"/>
    <w:qFormat/>
    <w:uiPriority w:val="0"/>
    <w:rPr>
      <w:rFonts w:ascii="宋体" w:hAnsi="Arial" w:eastAsia="宋体" w:cs="Times New Roman"/>
      <w:sz w:val="28"/>
    </w:rPr>
  </w:style>
  <w:style w:type="paragraph" w:styleId="7">
    <w:name w:val="Body Text 2"/>
    <w:basedOn w:val="1"/>
    <w:autoRedefine/>
    <w:qFormat/>
    <w:uiPriority w:val="0"/>
    <w:pPr>
      <w:spacing w:line="360" w:lineRule="auto"/>
    </w:pPr>
    <w:rPr>
      <w:rFonts w:ascii="宋体"/>
      <w:spacing w:val="-20"/>
      <w:sz w:val="28"/>
      <w:szCs w:val="20"/>
    </w:rPr>
  </w:style>
  <w:style w:type="paragraph" w:styleId="8">
    <w:name w:val="Body Text Indent"/>
    <w:basedOn w:val="1"/>
    <w:next w:val="9"/>
    <w:autoRedefine/>
    <w:qFormat/>
    <w:uiPriority w:val="0"/>
    <w:pPr>
      <w:keepNext w:val="0"/>
      <w:keepLines w:val="0"/>
      <w:widowControl w:val="0"/>
      <w:suppressLineNumbers w:val="0"/>
      <w:spacing w:before="0" w:beforeAutospacing="0" w:after="120" w:afterAutospacing="0"/>
      <w:ind w:left="420" w:leftChars="200" w:right="0"/>
      <w:jc w:val="both"/>
    </w:pPr>
    <w:rPr>
      <w:rFonts w:hint="default" w:ascii="Times New Roman" w:hAnsi="Times New Roman" w:eastAsia="宋体" w:cs="Times New Roman"/>
      <w:kern w:val="2"/>
      <w:sz w:val="21"/>
      <w:szCs w:val="24"/>
      <w:lang w:val="en-US" w:eastAsia="zh-CN" w:bidi="ar"/>
    </w:rPr>
  </w:style>
  <w:style w:type="paragraph" w:styleId="9">
    <w:name w:val="envelope return"/>
    <w:basedOn w:val="1"/>
    <w:autoRedefine/>
    <w:qFormat/>
    <w:uiPriority w:val="0"/>
    <w:pPr>
      <w:snapToGrid w:val="0"/>
    </w:pPr>
    <w:rPr>
      <w:rFonts w:ascii="Arial" w:hAnsi="Arial" w:cs="Arial"/>
      <w:szCs w:val="20"/>
    </w:rPr>
  </w:style>
  <w:style w:type="paragraph" w:styleId="10">
    <w:name w:val="Plain Text"/>
    <w:basedOn w:val="1"/>
    <w:autoRedefine/>
    <w:qFormat/>
    <w:uiPriority w:val="99"/>
    <w:rPr>
      <w:rFonts w:ascii="宋体" w:hAnsi="Courier New" w:eastAsia="宋体" w:cs="黑体"/>
      <w:szCs w:val="22"/>
    </w:rPr>
  </w:style>
  <w:style w:type="paragraph" w:styleId="11">
    <w:name w:val="Date"/>
    <w:basedOn w:val="1"/>
    <w:next w:val="1"/>
    <w:autoRedefine/>
    <w:qFormat/>
    <w:uiPriority w:val="0"/>
    <w:rPr>
      <w:rFonts w:ascii="Arial" w:hAnsi="Arial" w:eastAsia="宋体" w:cs="Arial"/>
      <w:b/>
      <w:sz w:val="28"/>
    </w:rPr>
  </w:style>
  <w:style w:type="paragraph" w:styleId="12">
    <w:name w:val="footer"/>
    <w:basedOn w:val="1"/>
    <w:unhideWhenUsed/>
    <w:qFormat/>
    <w:uiPriority w:val="99"/>
    <w:pPr>
      <w:tabs>
        <w:tab w:val="center" w:pos="4153"/>
        <w:tab w:val="right" w:pos="8306"/>
      </w:tabs>
      <w:snapToGrid w:val="0"/>
      <w:jc w:val="left"/>
    </w:pPr>
    <w:rPr>
      <w:sz w:val="18"/>
      <w:szCs w:val="18"/>
    </w:rPr>
  </w:style>
  <w:style w:type="paragraph" w:styleId="13">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index 1"/>
    <w:basedOn w:val="1"/>
    <w:next w:val="1"/>
    <w:autoRedefine/>
    <w:qFormat/>
    <w:uiPriority w:val="0"/>
    <w:pPr>
      <w:jc w:val="center"/>
    </w:pPr>
    <w:rPr>
      <w:rFonts w:ascii="Arial" w:hAnsi="Arial" w:eastAsia="Arial" w:cs="Arial"/>
      <w:b/>
      <w:bCs/>
      <w:sz w:val="28"/>
    </w:rPr>
  </w:style>
  <w:style w:type="paragraph" w:styleId="15">
    <w:name w:val="Body Text First Indent 2"/>
    <w:basedOn w:val="8"/>
    <w:next w:val="1"/>
    <w:autoRedefine/>
    <w:qFormat/>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Times New Roman" w:hAnsi="Times New Roman" w:eastAsia="宋体" w:cs="Times New Roman"/>
      <w:kern w:val="2"/>
      <w:sz w:val="21"/>
      <w:szCs w:val="24"/>
      <w:lang w:val="en-US" w:eastAsia="zh-CN" w:bidi="ar"/>
    </w:rPr>
  </w:style>
  <w:style w:type="table" w:styleId="17">
    <w:name w:val="Table Grid"/>
    <w:basedOn w:val="16"/>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表格文字"/>
    <w:basedOn w:val="1"/>
    <w:next w:val="6"/>
    <w:autoRedefine/>
    <w:qFormat/>
    <w:uiPriority w:val="0"/>
    <w:pPr>
      <w:spacing w:line="240" w:lineRule="auto"/>
      <w:ind w:firstLine="0" w:firstLineChars="0"/>
      <w:jc w:val="center"/>
    </w:pPr>
    <w:rPr>
      <w:rFonts w:cs="Times New Roman"/>
      <w:kern w:val="0"/>
      <w:sz w:val="20"/>
    </w:rPr>
  </w:style>
  <w:style w:type="paragraph" w:customStyle="1" w:styleId="20">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21">
    <w:name w:val="Table Paragraph"/>
    <w:basedOn w:val="1"/>
    <w:autoRedefine/>
    <w:qFormat/>
    <w:uiPriority w:val="1"/>
    <w:rPr>
      <w:rFonts w:ascii="宋体" w:hAnsi="宋体" w:eastAsia="宋体" w:cs="宋体"/>
      <w:lang w:val="zh-CN" w:eastAsia="zh-CN" w:bidi="zh-CN"/>
    </w:rPr>
  </w:style>
  <w:style w:type="paragraph" w:customStyle="1" w:styleId="22">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styleId="23">
    <w:name w:val="List Paragraph"/>
    <w:basedOn w:val="1"/>
    <w:autoRedefine/>
    <w:qFormat/>
    <w:uiPriority w:val="99"/>
    <w:pPr>
      <w:ind w:firstLine="420" w:firstLineChars="200"/>
    </w:pPr>
  </w:style>
  <w:style w:type="paragraph" w:customStyle="1" w:styleId="24">
    <w:name w:val="D&amp;L"/>
    <w:basedOn w:val="13"/>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25">
    <w:name w:val="font11"/>
    <w:basedOn w:val="18"/>
    <w:autoRedefine/>
    <w:qFormat/>
    <w:uiPriority w:val="0"/>
    <w:rPr>
      <w:rFonts w:hint="eastAsia" w:ascii="宋体" w:hAnsi="宋体" w:eastAsia="宋体" w:cs="宋体"/>
      <w:color w:val="000000"/>
      <w:sz w:val="21"/>
      <w:szCs w:val="21"/>
      <w:u w:val="none"/>
    </w:rPr>
  </w:style>
  <w:style w:type="table" w:customStyle="1" w:styleId="2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24209</Words>
  <Characters>25500</Characters>
  <Lines>0</Lines>
  <Paragraphs>0</Paragraphs>
  <TotalTime>3</TotalTime>
  <ScaleCrop>false</ScaleCrop>
  <LinksUpToDate>false</LinksUpToDate>
  <CharactersWithSpaces>26833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2023-05-29T00:41:00Z</dcterms:created>
  <dc:creator>THINKPAD</dc:creator>
  <cp:lastModifiedBy>Nick1</cp:lastModifiedBy>
  <cp:lastPrinted>2023-10-26T00:52:00Z</cp:lastPrinted>
  <dcterms:modified xsi:type="dcterms:W3CDTF">2024-06-18T08:14:27Z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D0DF042B99A649EEB0C67A2F098A1D31_12</vt:lpwstr>
  </property>
</Properties>
</file>